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C48A" w14:textId="77777777" w:rsidR="00511B56" w:rsidRPr="00F323E4" w:rsidRDefault="006639F9">
      <w:pPr>
        <w:spacing w:before="76"/>
        <w:ind w:left="237" w:right="298"/>
        <w:jc w:val="center"/>
        <w:rPr>
          <w:b/>
          <w:sz w:val="30"/>
        </w:rPr>
      </w:pPr>
      <w:r w:rsidRPr="00F323E4">
        <w:rPr>
          <w:b/>
          <w:sz w:val="30"/>
        </w:rPr>
        <w:t>TOWN AND COUNTRY PLANNING ACT 1990</w:t>
      </w:r>
    </w:p>
    <w:p w14:paraId="31C197EF" w14:textId="77777777" w:rsidR="00511B56" w:rsidRPr="00F323E4" w:rsidRDefault="00511B56">
      <w:pPr>
        <w:pStyle w:val="BodyText"/>
        <w:ind w:left="0" w:firstLine="0"/>
        <w:rPr>
          <w:b/>
          <w:sz w:val="34"/>
        </w:rPr>
      </w:pPr>
    </w:p>
    <w:p w14:paraId="6AEE6F55" w14:textId="59B15766" w:rsidR="00511B56" w:rsidRPr="00F323E4" w:rsidRDefault="006639F9">
      <w:pPr>
        <w:spacing w:before="256" w:line="278" w:lineRule="auto"/>
        <w:ind w:left="1045" w:right="1109" w:firstLine="8"/>
        <w:jc w:val="center"/>
        <w:rPr>
          <w:sz w:val="26"/>
        </w:rPr>
      </w:pPr>
      <w:r w:rsidRPr="00F323E4">
        <w:rPr>
          <w:sz w:val="26"/>
        </w:rPr>
        <w:t xml:space="preserve">Planning Inspectorate ref. </w:t>
      </w:r>
      <w:r w:rsidR="00C6275D" w:rsidRPr="00F323E4">
        <w:rPr>
          <w:sz w:val="26"/>
        </w:rPr>
        <w:t>APP/J4423/W/20/3258555</w:t>
      </w:r>
    </w:p>
    <w:p w14:paraId="583202F8" w14:textId="2E0CFE59" w:rsidR="00511B56" w:rsidRPr="00F323E4" w:rsidRDefault="006639F9">
      <w:pPr>
        <w:spacing w:before="196"/>
        <w:ind w:left="235" w:right="298"/>
        <w:jc w:val="center"/>
        <w:rPr>
          <w:sz w:val="26"/>
        </w:rPr>
      </w:pPr>
      <w:r w:rsidRPr="00F323E4">
        <w:rPr>
          <w:sz w:val="26"/>
        </w:rPr>
        <w:t xml:space="preserve">Sheffield City Council ref: </w:t>
      </w:r>
      <w:r w:rsidR="0018101C">
        <w:rPr>
          <w:sz w:val="26"/>
        </w:rPr>
        <w:t>19/03143/FUL</w:t>
      </w:r>
    </w:p>
    <w:p w14:paraId="11A8BDF0" w14:textId="77777777" w:rsidR="00511B56" w:rsidRPr="00F323E4" w:rsidRDefault="00511B56">
      <w:pPr>
        <w:pStyle w:val="BodyText"/>
        <w:ind w:left="0" w:firstLine="0"/>
        <w:rPr>
          <w:sz w:val="28"/>
        </w:rPr>
      </w:pPr>
    </w:p>
    <w:p w14:paraId="118B4B80" w14:textId="77777777" w:rsidR="00511B56" w:rsidRPr="00F323E4" w:rsidRDefault="00511B56">
      <w:pPr>
        <w:pStyle w:val="BodyText"/>
        <w:ind w:left="0" w:firstLine="0"/>
        <w:rPr>
          <w:sz w:val="28"/>
        </w:rPr>
      </w:pPr>
    </w:p>
    <w:p w14:paraId="2B870559" w14:textId="77777777" w:rsidR="0018101C" w:rsidRDefault="006639F9">
      <w:pPr>
        <w:spacing w:before="198" w:line="424" w:lineRule="auto"/>
        <w:ind w:left="3441" w:right="3492" w:hanging="3"/>
        <w:jc w:val="center"/>
        <w:rPr>
          <w:sz w:val="26"/>
        </w:rPr>
      </w:pPr>
      <w:r w:rsidRPr="00F323E4">
        <w:rPr>
          <w:sz w:val="26"/>
        </w:rPr>
        <w:t xml:space="preserve">Appeal by </w:t>
      </w:r>
    </w:p>
    <w:p w14:paraId="27DC2087" w14:textId="69153893" w:rsidR="00652878" w:rsidRPr="00F323E4" w:rsidRDefault="0018101C" w:rsidP="0018101C">
      <w:pPr>
        <w:spacing w:before="198" w:line="424" w:lineRule="auto"/>
        <w:ind w:left="2127" w:right="2347" w:hanging="3"/>
        <w:jc w:val="center"/>
        <w:rPr>
          <w:b/>
          <w:sz w:val="30"/>
        </w:rPr>
      </w:pPr>
      <w:r>
        <w:rPr>
          <w:b/>
          <w:sz w:val="30"/>
        </w:rPr>
        <w:t>Avant Homes Central</w:t>
      </w:r>
    </w:p>
    <w:p w14:paraId="42D8A945" w14:textId="77777777" w:rsidR="00511B56" w:rsidRPr="00F323E4" w:rsidRDefault="006639F9">
      <w:pPr>
        <w:spacing w:before="198" w:line="424" w:lineRule="auto"/>
        <w:ind w:left="3441" w:right="3492" w:hanging="3"/>
        <w:jc w:val="center"/>
        <w:rPr>
          <w:sz w:val="26"/>
        </w:rPr>
      </w:pPr>
      <w:r w:rsidRPr="00F323E4">
        <w:rPr>
          <w:sz w:val="26"/>
        </w:rPr>
        <w:t>Against</w:t>
      </w:r>
    </w:p>
    <w:p w14:paraId="4E757468" w14:textId="799FB0DC" w:rsidR="0018101C" w:rsidRPr="0018101C" w:rsidRDefault="006639F9" w:rsidP="0018101C">
      <w:pPr>
        <w:pStyle w:val="ListParagraph"/>
        <w:tabs>
          <w:tab w:val="left" w:pos="1181"/>
          <w:tab w:val="left" w:pos="1182"/>
        </w:tabs>
        <w:spacing w:line="276" w:lineRule="auto"/>
        <w:ind w:left="1182" w:right="103" w:firstLine="0"/>
        <w:jc w:val="center"/>
        <w:rPr>
          <w:sz w:val="26"/>
        </w:rPr>
      </w:pPr>
      <w:r w:rsidRPr="00F323E4">
        <w:rPr>
          <w:sz w:val="30"/>
        </w:rPr>
        <w:t>The refusal of planning permission for</w:t>
      </w:r>
      <w:r w:rsidR="0018101C" w:rsidRPr="0018101C">
        <w:rPr>
          <w:i/>
          <w:iCs/>
        </w:rPr>
        <w:t xml:space="preserve"> </w:t>
      </w:r>
      <w:r w:rsidR="0018101C" w:rsidRPr="0018101C">
        <w:rPr>
          <w:sz w:val="30"/>
        </w:rPr>
        <w:t>erection of 74 no. dwellings, formation of access road, associated landscaping works, open space works and flood storage works.</w:t>
      </w:r>
    </w:p>
    <w:p w14:paraId="0D19468B" w14:textId="77777777" w:rsidR="0018101C" w:rsidRPr="0018101C" w:rsidRDefault="0018101C" w:rsidP="0018101C">
      <w:pPr>
        <w:pStyle w:val="ListParagraph"/>
        <w:tabs>
          <w:tab w:val="left" w:pos="1181"/>
          <w:tab w:val="left" w:pos="1182"/>
        </w:tabs>
        <w:spacing w:line="276" w:lineRule="auto"/>
        <w:ind w:left="1182" w:right="103" w:firstLine="0"/>
        <w:rPr>
          <w:sz w:val="26"/>
        </w:rPr>
      </w:pPr>
    </w:p>
    <w:p w14:paraId="1DE48304" w14:textId="0AFFA994" w:rsidR="00511B56" w:rsidRPr="00F323E4" w:rsidRDefault="006639F9" w:rsidP="0018101C">
      <w:pPr>
        <w:pStyle w:val="ListParagraph"/>
        <w:tabs>
          <w:tab w:val="left" w:pos="1181"/>
          <w:tab w:val="left" w:pos="1182"/>
        </w:tabs>
        <w:spacing w:line="276" w:lineRule="auto"/>
        <w:ind w:left="1182" w:right="103" w:firstLine="0"/>
        <w:jc w:val="center"/>
        <w:rPr>
          <w:sz w:val="26"/>
        </w:rPr>
      </w:pPr>
      <w:r w:rsidRPr="00F323E4">
        <w:rPr>
          <w:sz w:val="26"/>
        </w:rPr>
        <w:t>Site at</w:t>
      </w:r>
    </w:p>
    <w:p w14:paraId="6282DFBB" w14:textId="20E54768" w:rsidR="00511B56" w:rsidRPr="00F323E4" w:rsidRDefault="00C6275D">
      <w:pPr>
        <w:spacing w:before="241"/>
        <w:ind w:left="237" w:right="296"/>
        <w:jc w:val="center"/>
        <w:rPr>
          <w:sz w:val="30"/>
        </w:rPr>
      </w:pPr>
      <w:r w:rsidRPr="00F323E4">
        <w:rPr>
          <w:sz w:val="30"/>
        </w:rPr>
        <w:t>LAND AT MOORTHORPE WAY, SHEFFIELD</w:t>
      </w:r>
    </w:p>
    <w:p w14:paraId="51CDFA60" w14:textId="77777777" w:rsidR="00511B56" w:rsidRPr="00F323E4" w:rsidRDefault="00511B56">
      <w:pPr>
        <w:pStyle w:val="BodyText"/>
        <w:ind w:left="0" w:firstLine="0"/>
        <w:rPr>
          <w:sz w:val="20"/>
        </w:rPr>
      </w:pPr>
    </w:p>
    <w:p w14:paraId="660B0EDD" w14:textId="77777777" w:rsidR="00511B56" w:rsidRPr="00F323E4" w:rsidRDefault="00511B56">
      <w:pPr>
        <w:pStyle w:val="BodyText"/>
        <w:ind w:left="0" w:firstLine="0"/>
        <w:rPr>
          <w:sz w:val="20"/>
        </w:rPr>
      </w:pPr>
    </w:p>
    <w:p w14:paraId="514613E5" w14:textId="77777777" w:rsidR="00511B56" w:rsidRPr="00F323E4" w:rsidRDefault="00511B56">
      <w:pPr>
        <w:pStyle w:val="BodyText"/>
        <w:ind w:left="0" w:firstLine="0"/>
        <w:rPr>
          <w:sz w:val="20"/>
        </w:rPr>
      </w:pPr>
    </w:p>
    <w:p w14:paraId="08760958" w14:textId="77777777" w:rsidR="00511B56" w:rsidRPr="00F323E4" w:rsidRDefault="00511B56">
      <w:pPr>
        <w:pStyle w:val="BodyText"/>
        <w:ind w:left="0" w:firstLine="0"/>
        <w:rPr>
          <w:sz w:val="20"/>
        </w:rPr>
      </w:pPr>
    </w:p>
    <w:p w14:paraId="33511D95" w14:textId="77777777" w:rsidR="00511B56" w:rsidRPr="00F323E4" w:rsidRDefault="006639F9">
      <w:pPr>
        <w:pStyle w:val="BodyText"/>
        <w:spacing w:before="3"/>
        <w:ind w:left="0" w:firstLine="0"/>
        <w:rPr>
          <w:sz w:val="14"/>
        </w:rPr>
      </w:pPr>
      <w:r w:rsidRPr="00F323E4">
        <w:rPr>
          <w:noProof/>
          <w:lang w:val="en-GB" w:eastAsia="en-GB"/>
        </w:rPr>
        <mc:AlternateContent>
          <mc:Choice Requires="wps">
            <w:drawing>
              <wp:anchor distT="0" distB="0" distL="0" distR="0" simplePos="0" relativeHeight="251657216" behindDoc="0" locked="0" layoutInCell="1" allowOverlap="1" wp14:anchorId="7936B6C8" wp14:editId="430F2279">
                <wp:simplePos x="0" y="0"/>
                <wp:positionH relativeFrom="page">
                  <wp:posOffset>1358265</wp:posOffset>
                </wp:positionH>
                <wp:positionV relativeFrom="paragraph">
                  <wp:posOffset>134620</wp:posOffset>
                </wp:positionV>
                <wp:extent cx="4844415" cy="0"/>
                <wp:effectExtent l="5715" t="11430" r="7620" b="7620"/>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441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B63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6.95pt,10.6pt" to="488.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GiywEAAIQDAAAOAAAAZHJzL2Uyb0RvYy54bWysU8Fu2zAMvQ/YPwi6L46TbCiMOD0k6y7Z&#10;FqDdBzCSbAuTRUFSYufvR8lJ2m23YT4Iokg+Pj7S68exN+ysfNBoa17O5pwpK1Bq29b8x8vThwfO&#10;QgQrwaBVNb+owB8379+tB1epBXZopPKMQGyoBlfzLkZXFUUQneohzNApS84GfQ+RTN8W0sNA6L0p&#10;FvP5p2JAL51HoUKg193k5JuM3zRKxO9NE1RkpubELebT5/OYzmKzhqr14DotrjTgH1j0oC0VvUPt&#10;IAI7ef0XVK+Fx4BNnAnsC2waLVTugbop539089yBU7kXEie4u0zh/8GKb+eDZ1rS7GhSFnqa0V5b&#10;xZZJmsGFiiK29uBTc2K0z26P4mdgFrcd2FZlii8XR2llyih+S0lGcFTgOHxFSTFwiph1GhvfJ0hS&#10;gI15HJf7ONQYmaDH1cNqtSo/ciZuvgKqW6LzIX5R2LN0qbkhzhkYzvsQExGobiGpjsUnbUyetrFs&#10;ILblYrnMGQGNlsmb4oJvj1vj2RnSwuQvt0Wet2EJegehm+Kya1oljycrc5lOgfx8vUfQZroTLWOv&#10;MiVlJo2PKC8Hf5OPRp35X9cy7dJbO2e//jybXwAAAP//AwBQSwMEFAAGAAgAAAAhADurDkzgAAAA&#10;CQEAAA8AAABkcnMvZG93bnJldi54bWxMj0FPwzAMhe9I/IfISFzQlq5Fg5Wm00BMaBIH2HbhljWm&#10;LTROlWRb4dfjiQPcbL+n5+8V88F24oA+tI4UTMYJCKTKmZZqBdvNcnQLIkRNRneOUMEXBpiX52eF&#10;zo070ise1rEWHEIh1wqaGPtcylA1aHUYux6JtXfnrY68+loar48cbjuZJslUWt0Sf2h0jw8NVp/r&#10;vVWwSrOr56fs2j8uwpCZ+7eP5cv2W6nLi2FxByLiEP/McMJndCiZaef2ZILoFKSTbMbW05CCYMPs&#10;Zspddr8HWRbyf4PyBwAA//8DAFBLAQItABQABgAIAAAAIQC2gziS/gAAAOEBAAATAAAAAAAAAAAA&#10;AAAAAAAAAABbQ29udGVudF9UeXBlc10ueG1sUEsBAi0AFAAGAAgAAAAhADj9If/WAAAAlAEAAAsA&#10;AAAAAAAAAAAAAAAALwEAAF9yZWxzLy5yZWxzUEsBAi0AFAAGAAgAAAAhAEIQ8aLLAQAAhAMAAA4A&#10;AAAAAAAAAAAAAAAALgIAAGRycy9lMm9Eb2MueG1sUEsBAi0AFAAGAAgAAAAhADurDkzgAAAACQEA&#10;AA8AAAAAAAAAAAAAAAAAJQQAAGRycy9kb3ducmV2LnhtbFBLBQYAAAAABAAEAPMAAAAyBQAAAAA=&#10;" strokeweight=".31203mm">
                <w10:wrap type="topAndBottom" anchorx="page"/>
              </v:line>
            </w:pict>
          </mc:Fallback>
        </mc:AlternateContent>
      </w:r>
    </w:p>
    <w:p w14:paraId="49E8A1D6" w14:textId="77777777" w:rsidR="00511B56" w:rsidRPr="00F323E4" w:rsidRDefault="00511B56">
      <w:pPr>
        <w:pStyle w:val="BodyText"/>
        <w:spacing w:before="3"/>
        <w:ind w:left="0" w:firstLine="0"/>
        <w:rPr>
          <w:sz w:val="11"/>
        </w:rPr>
      </w:pPr>
    </w:p>
    <w:p w14:paraId="7C957E3B" w14:textId="77777777" w:rsidR="00511B56" w:rsidRPr="00F323E4" w:rsidRDefault="006639F9">
      <w:pPr>
        <w:pStyle w:val="Heading1"/>
        <w:spacing w:before="91"/>
        <w:ind w:right="294"/>
      </w:pPr>
      <w:r w:rsidRPr="00F323E4">
        <w:t>SHEFFIELD CITY COUNCIL</w:t>
      </w:r>
    </w:p>
    <w:p w14:paraId="0E18A86E" w14:textId="77777777" w:rsidR="00511B56" w:rsidRPr="00F323E4" w:rsidRDefault="00511B56">
      <w:pPr>
        <w:pStyle w:val="BodyText"/>
        <w:ind w:left="0" w:firstLine="0"/>
        <w:rPr>
          <w:b/>
          <w:sz w:val="30"/>
        </w:rPr>
      </w:pPr>
    </w:p>
    <w:p w14:paraId="63023556" w14:textId="77777777" w:rsidR="00511B56" w:rsidRPr="00F323E4" w:rsidRDefault="00511B56">
      <w:pPr>
        <w:pStyle w:val="BodyText"/>
        <w:spacing w:before="1"/>
        <w:ind w:left="0" w:firstLine="0"/>
        <w:rPr>
          <w:b/>
          <w:sz w:val="41"/>
        </w:rPr>
      </w:pPr>
    </w:p>
    <w:p w14:paraId="66C518FA" w14:textId="100EBFEB" w:rsidR="00511B56" w:rsidRPr="00F323E4" w:rsidRDefault="006639F9">
      <w:pPr>
        <w:ind w:left="237" w:right="297"/>
        <w:jc w:val="center"/>
        <w:rPr>
          <w:b/>
          <w:sz w:val="28"/>
        </w:rPr>
      </w:pPr>
      <w:r w:rsidRPr="00F323E4">
        <w:rPr>
          <w:b/>
          <w:sz w:val="28"/>
        </w:rPr>
        <w:t xml:space="preserve">PROOF OF EVIDENCE of </w:t>
      </w:r>
      <w:r w:rsidR="00C6275D" w:rsidRPr="00F323E4">
        <w:rPr>
          <w:b/>
          <w:sz w:val="28"/>
        </w:rPr>
        <w:t>LAURA STEPHENS</w:t>
      </w:r>
    </w:p>
    <w:p w14:paraId="325C2EE0" w14:textId="77777777" w:rsidR="00511B56" w:rsidRPr="00F323E4" w:rsidRDefault="00511B56">
      <w:pPr>
        <w:pStyle w:val="BodyText"/>
        <w:ind w:left="0" w:firstLine="0"/>
        <w:rPr>
          <w:b/>
          <w:sz w:val="20"/>
        </w:rPr>
      </w:pPr>
    </w:p>
    <w:p w14:paraId="157F0B1D" w14:textId="77777777" w:rsidR="00511B56" w:rsidRPr="00F323E4" w:rsidRDefault="006639F9">
      <w:pPr>
        <w:pStyle w:val="BodyText"/>
        <w:spacing w:before="4"/>
        <w:ind w:left="0" w:firstLine="0"/>
        <w:rPr>
          <w:b/>
        </w:rPr>
      </w:pPr>
      <w:r w:rsidRPr="00F323E4">
        <w:rPr>
          <w:noProof/>
          <w:lang w:val="en-GB" w:eastAsia="en-GB"/>
        </w:rPr>
        <mc:AlternateContent>
          <mc:Choice Requires="wps">
            <w:drawing>
              <wp:anchor distT="0" distB="0" distL="0" distR="0" simplePos="0" relativeHeight="251658240" behindDoc="0" locked="0" layoutInCell="1" allowOverlap="1" wp14:anchorId="36AA53B3" wp14:editId="3F59C867">
                <wp:simplePos x="0" y="0"/>
                <wp:positionH relativeFrom="page">
                  <wp:posOffset>1358265</wp:posOffset>
                </wp:positionH>
                <wp:positionV relativeFrom="paragraph">
                  <wp:posOffset>208280</wp:posOffset>
                </wp:positionV>
                <wp:extent cx="4844415" cy="0"/>
                <wp:effectExtent l="5715" t="12700" r="7620" b="635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4415" cy="0"/>
                        </a:xfrm>
                        <a:prstGeom prst="line">
                          <a:avLst/>
                        </a:prstGeom>
                        <a:noFill/>
                        <a:ln w="112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9F90F"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6.95pt,16.4pt" to="488.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1ywEAAIQDAAAOAAAAZHJzL2Uyb0RvYy54bWysU8Fu2zAMvQ/YPwi6L47TbCuMOD0k6y7Z&#10;FqDdBzCSbAuVRUFSYufvR8lJ1m23oT4Iokg+Pj7Sq4exN+ykfNBoa17O5pwpK1Bq29b85/Pjh3vO&#10;QgQrwaBVNT+rwB/W79+tBlepBXZopPKMQGyoBlfzLkZXFUUQneohzNApS84GfQ+RTN8W0sNA6L0p&#10;FvP5p2JAL51HoUKg1+3k5OuM3zRKxB9NE1RkpubELebT5/OQzmK9gqr14DotLjTgP1j0oC0VvUFt&#10;IQI7ev0PVK+Fx4BNnAnsC2waLVTugbop539189SBU7kXEie4m0zh7WDF99PeMy1pdp85s9DTjHba&#10;KrZI0gwuVBSxsXufmhOjfXI7FC+BWdx0YFuVKT6fHaWVKaP4IyUZwVGBw/ANJcXAMWLWaWx8nyBJ&#10;ATbmcZxv41BjZIIel/fL5bL8yJm4+gqoronOh/hVYc/SpeaGOGdgOO1CTESguoakOhYftTF52say&#10;gdiWi7u7nBHQaJm8KS749rAxnp0gLUz+clvkeR2WoLcQuikuu6ZV8ni0MpfpFMgvl3sEbaY70TL2&#10;IlNSZtL4gPK891f5aNSZ/2Ut0y69tnP2759n/QsAAP//AwBQSwMEFAAGAAgAAAAhANyisVfgAAAA&#10;CQEAAA8AAABkcnMvZG93bnJldi54bWxMj0FPwzAMhe9I/IfISFwQS9egwUrTaSAmhMQBxi7cssa0&#10;hcapkmwr/HqMOMDN9nt6/l65GF0v9hhi50nDdJKBQKq97ajRsHlZnV+BiMmQNb0n1PCJERbV8VFp&#10;CusP9Iz7dWoEh1AsjIY2paGQMtYtOhMnfkBi7c0HZxKvoZE2mAOHu17mWTaTznTEH1oz4G2L9cd6&#10;5zQ85Ors8V5dhLtlHJW9eX1fPW2+tD49GZfXIBKO6c8MP/iMDhUzbf2ObBS9hnyq5mzVoHKuwIb5&#10;5YyH7e9BVqX836D6BgAA//8DAFBLAQItABQABgAIAAAAIQC2gziS/gAAAOEBAAATAAAAAAAAAAAA&#10;AAAAAAAAAABbQ29udGVudF9UeXBlc10ueG1sUEsBAi0AFAAGAAgAAAAhADj9If/WAAAAlAEAAAsA&#10;AAAAAAAAAAAAAAAALwEAAF9yZWxzLy5yZWxzUEsBAi0AFAAGAAgAAAAhAKxgL7XLAQAAhAMAAA4A&#10;AAAAAAAAAAAAAAAALgIAAGRycy9lMm9Eb2MueG1sUEsBAi0AFAAGAAgAAAAhANyisVfgAAAACQEA&#10;AA8AAAAAAAAAAAAAAAAAJQQAAGRycy9kb3ducmV2LnhtbFBLBQYAAAAABAAEAPMAAAAyBQAAAAA=&#10;" strokeweight=".31203mm">
                <w10:wrap type="topAndBottom" anchorx="page"/>
              </v:line>
            </w:pict>
          </mc:Fallback>
        </mc:AlternateContent>
      </w:r>
    </w:p>
    <w:p w14:paraId="45DA12CE" w14:textId="77777777" w:rsidR="00511B56" w:rsidRPr="00F323E4" w:rsidRDefault="00511B56">
      <w:pPr>
        <w:sectPr w:rsidR="00511B56" w:rsidRPr="00F323E4">
          <w:footerReference w:type="default" r:id="rId8"/>
          <w:type w:val="continuous"/>
          <w:pgSz w:w="11910" w:h="16840"/>
          <w:pgMar w:top="1580" w:right="1420" w:bottom="920" w:left="1480" w:header="720" w:footer="730" w:gutter="0"/>
          <w:pgNumType w:start="1"/>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4852"/>
        <w:gridCol w:w="1373"/>
        <w:gridCol w:w="956"/>
      </w:tblGrid>
      <w:tr w:rsidR="00F2359B" w:rsidRPr="00F323E4" w14:paraId="3CFCFF86" w14:textId="77777777" w:rsidTr="00AE2C42">
        <w:trPr>
          <w:trHeight w:hRule="exact" w:val="725"/>
        </w:trPr>
        <w:tc>
          <w:tcPr>
            <w:tcW w:w="7181" w:type="dxa"/>
            <w:gridSpan w:val="3"/>
          </w:tcPr>
          <w:p w14:paraId="1A835FC0" w14:textId="31B7A17C" w:rsidR="00F2359B" w:rsidRPr="00F323E4" w:rsidRDefault="00F2359B" w:rsidP="00F2359B">
            <w:pPr>
              <w:jc w:val="center"/>
            </w:pPr>
            <w:r w:rsidRPr="00F323E4">
              <w:rPr>
                <w:b/>
                <w:sz w:val="30"/>
              </w:rPr>
              <w:lastRenderedPageBreak/>
              <w:t>INDEX</w:t>
            </w:r>
          </w:p>
        </w:tc>
      </w:tr>
      <w:tr w:rsidR="00511B56" w:rsidRPr="00F323E4" w14:paraId="54DC83E6" w14:textId="77777777" w:rsidTr="00AE2C42">
        <w:trPr>
          <w:trHeight w:hRule="exact" w:val="7291"/>
        </w:trPr>
        <w:tc>
          <w:tcPr>
            <w:tcW w:w="4852" w:type="dxa"/>
          </w:tcPr>
          <w:p w14:paraId="50E3890D" w14:textId="77777777" w:rsidR="00511B56" w:rsidRPr="00F323E4" w:rsidRDefault="00511B56">
            <w:pPr>
              <w:pStyle w:val="TableParagraph"/>
              <w:spacing w:before="2"/>
              <w:rPr>
                <w:b/>
                <w:sz w:val="33"/>
              </w:rPr>
            </w:pPr>
          </w:p>
          <w:p w14:paraId="7F8B4E5F" w14:textId="56BEB1D9" w:rsidR="0018101C" w:rsidRPr="0018101C" w:rsidRDefault="0018101C" w:rsidP="0018101C">
            <w:pPr>
              <w:pStyle w:val="ListParagraph"/>
              <w:numPr>
                <w:ilvl w:val="0"/>
                <w:numId w:val="43"/>
              </w:numPr>
              <w:ind w:left="167" w:firstLine="0"/>
              <w:rPr>
                <w:sz w:val="24"/>
                <w:szCs w:val="24"/>
              </w:rPr>
            </w:pPr>
            <w:r w:rsidRPr="0018101C">
              <w:rPr>
                <w:sz w:val="24"/>
                <w:szCs w:val="24"/>
              </w:rPr>
              <w:t xml:space="preserve">    INTRODUCTION</w:t>
            </w:r>
          </w:p>
          <w:p w14:paraId="1E4A896D" w14:textId="77777777" w:rsidR="0018101C" w:rsidRPr="00F323E4" w:rsidRDefault="0018101C" w:rsidP="0018101C">
            <w:pPr>
              <w:pStyle w:val="ListParagraph"/>
              <w:ind w:left="405" w:firstLine="0"/>
              <w:rPr>
                <w:sz w:val="24"/>
                <w:szCs w:val="24"/>
              </w:rPr>
            </w:pPr>
          </w:p>
          <w:p w14:paraId="2C86D844" w14:textId="5060045D" w:rsidR="0018101C" w:rsidRPr="00F2359B" w:rsidRDefault="0018101C" w:rsidP="00F2359B">
            <w:pPr>
              <w:pStyle w:val="ListParagraph"/>
              <w:numPr>
                <w:ilvl w:val="0"/>
                <w:numId w:val="43"/>
              </w:numPr>
              <w:rPr>
                <w:sz w:val="24"/>
                <w:szCs w:val="24"/>
              </w:rPr>
            </w:pPr>
            <w:r w:rsidRPr="00F2359B">
              <w:rPr>
                <w:sz w:val="24"/>
                <w:szCs w:val="24"/>
              </w:rPr>
              <w:t xml:space="preserve">       PLANNING POLICY CONTEXT</w:t>
            </w:r>
          </w:p>
          <w:p w14:paraId="4C236EFC" w14:textId="77777777" w:rsidR="0018101C" w:rsidRPr="00F323E4" w:rsidRDefault="0018101C" w:rsidP="0018101C">
            <w:pPr>
              <w:pStyle w:val="ListParagraph"/>
              <w:ind w:left="405" w:firstLine="0"/>
              <w:rPr>
                <w:sz w:val="24"/>
                <w:szCs w:val="24"/>
              </w:rPr>
            </w:pPr>
          </w:p>
          <w:p w14:paraId="2351AD1C" w14:textId="1FC1E819" w:rsidR="0018101C" w:rsidRPr="00F2359B" w:rsidRDefault="00F2359B" w:rsidP="00F2359B">
            <w:pPr>
              <w:ind w:left="1034" w:hanging="850"/>
              <w:rPr>
                <w:sz w:val="24"/>
                <w:szCs w:val="24"/>
              </w:rPr>
            </w:pPr>
            <w:r>
              <w:rPr>
                <w:sz w:val="24"/>
                <w:szCs w:val="24"/>
              </w:rPr>
              <w:t>3.0       SHEFFIELD CITY COUNCIL 5 YEAR HOUSING LAN</w:t>
            </w:r>
            <w:r w:rsidR="00AE2C42">
              <w:rPr>
                <w:sz w:val="24"/>
                <w:szCs w:val="24"/>
              </w:rPr>
              <w:t>D</w:t>
            </w:r>
            <w:r>
              <w:rPr>
                <w:sz w:val="24"/>
                <w:szCs w:val="24"/>
              </w:rPr>
              <w:t xml:space="preserve"> SUPPLY - METHODOLOGY</w:t>
            </w:r>
          </w:p>
          <w:p w14:paraId="15684681" w14:textId="77777777" w:rsidR="0018101C" w:rsidRPr="00F323E4" w:rsidRDefault="0018101C" w:rsidP="0018101C">
            <w:pPr>
              <w:rPr>
                <w:sz w:val="24"/>
                <w:szCs w:val="24"/>
              </w:rPr>
            </w:pPr>
          </w:p>
          <w:p w14:paraId="5C6572AB" w14:textId="4B9964D9" w:rsidR="0018101C" w:rsidRPr="00F2359B" w:rsidRDefault="00F2359B" w:rsidP="00F2359B">
            <w:pPr>
              <w:ind w:left="184"/>
              <w:rPr>
                <w:sz w:val="24"/>
                <w:szCs w:val="24"/>
              </w:rPr>
            </w:pPr>
            <w:r>
              <w:rPr>
                <w:sz w:val="24"/>
                <w:szCs w:val="24"/>
              </w:rPr>
              <w:t xml:space="preserve">4.0       </w:t>
            </w:r>
            <w:r w:rsidR="0018101C" w:rsidRPr="00F2359B">
              <w:rPr>
                <w:sz w:val="24"/>
                <w:szCs w:val="24"/>
              </w:rPr>
              <w:t>CONCLUSION</w:t>
            </w:r>
          </w:p>
          <w:p w14:paraId="3CE697A5" w14:textId="1F93AE1D" w:rsidR="00511B56" w:rsidRPr="00F323E4" w:rsidRDefault="00511B56" w:rsidP="00F2359B">
            <w:pPr>
              <w:pStyle w:val="TableParagraph"/>
              <w:tabs>
                <w:tab w:val="left" w:pos="552"/>
              </w:tabs>
              <w:ind w:left="551"/>
              <w:rPr>
                <w:sz w:val="24"/>
              </w:rPr>
            </w:pPr>
          </w:p>
        </w:tc>
        <w:tc>
          <w:tcPr>
            <w:tcW w:w="1373" w:type="dxa"/>
          </w:tcPr>
          <w:p w14:paraId="7554697F" w14:textId="77777777" w:rsidR="00511B56" w:rsidRPr="00F323E4" w:rsidRDefault="00511B56" w:rsidP="0018101C">
            <w:pPr>
              <w:ind w:left="553"/>
            </w:pPr>
          </w:p>
        </w:tc>
        <w:tc>
          <w:tcPr>
            <w:tcW w:w="956" w:type="dxa"/>
          </w:tcPr>
          <w:p w14:paraId="4260197C" w14:textId="77777777" w:rsidR="00511B56" w:rsidRPr="00F323E4" w:rsidRDefault="00511B56">
            <w:pPr>
              <w:pStyle w:val="TableParagraph"/>
              <w:spacing w:before="2"/>
              <w:rPr>
                <w:b/>
                <w:sz w:val="33"/>
              </w:rPr>
            </w:pPr>
          </w:p>
          <w:p w14:paraId="442BCCBE" w14:textId="77777777" w:rsidR="00511B56" w:rsidRDefault="00F2359B" w:rsidP="00F2359B">
            <w:pPr>
              <w:pStyle w:val="TableParagraph"/>
              <w:ind w:left="35"/>
              <w:jc w:val="center"/>
              <w:rPr>
                <w:sz w:val="24"/>
              </w:rPr>
            </w:pPr>
            <w:r>
              <w:rPr>
                <w:sz w:val="24"/>
              </w:rPr>
              <w:t>5</w:t>
            </w:r>
          </w:p>
          <w:p w14:paraId="29146036" w14:textId="77777777" w:rsidR="00F2359B" w:rsidRDefault="00F2359B" w:rsidP="00F2359B">
            <w:pPr>
              <w:pStyle w:val="TableParagraph"/>
              <w:ind w:left="35"/>
              <w:jc w:val="center"/>
              <w:rPr>
                <w:sz w:val="24"/>
              </w:rPr>
            </w:pPr>
          </w:p>
          <w:p w14:paraId="783174C0" w14:textId="1B9DD599" w:rsidR="00F2359B" w:rsidRDefault="00F2359B" w:rsidP="00F2359B">
            <w:pPr>
              <w:pStyle w:val="TableParagraph"/>
              <w:ind w:left="35"/>
              <w:jc w:val="center"/>
              <w:rPr>
                <w:sz w:val="24"/>
              </w:rPr>
            </w:pPr>
            <w:r>
              <w:rPr>
                <w:sz w:val="24"/>
              </w:rPr>
              <w:t>7</w:t>
            </w:r>
          </w:p>
          <w:p w14:paraId="11180C7A" w14:textId="62A35925" w:rsidR="00F2359B" w:rsidRDefault="00F2359B" w:rsidP="00F2359B">
            <w:pPr>
              <w:pStyle w:val="TableParagraph"/>
              <w:ind w:left="35"/>
              <w:jc w:val="center"/>
              <w:rPr>
                <w:sz w:val="24"/>
              </w:rPr>
            </w:pPr>
          </w:p>
          <w:p w14:paraId="2F9FBC74" w14:textId="0C3345A9" w:rsidR="00F2359B" w:rsidRDefault="00F2359B" w:rsidP="00F2359B">
            <w:pPr>
              <w:pStyle w:val="TableParagraph"/>
              <w:ind w:left="35"/>
              <w:jc w:val="center"/>
              <w:rPr>
                <w:sz w:val="24"/>
              </w:rPr>
            </w:pPr>
            <w:r>
              <w:rPr>
                <w:sz w:val="24"/>
              </w:rPr>
              <w:t>1</w:t>
            </w:r>
            <w:r w:rsidR="001361C5">
              <w:rPr>
                <w:sz w:val="24"/>
              </w:rPr>
              <w:t>2</w:t>
            </w:r>
          </w:p>
          <w:p w14:paraId="32E6C12E" w14:textId="598DDDF2" w:rsidR="00F2359B" w:rsidRDefault="00F2359B" w:rsidP="00F2359B">
            <w:pPr>
              <w:pStyle w:val="TableParagraph"/>
              <w:ind w:left="35"/>
              <w:jc w:val="center"/>
              <w:rPr>
                <w:sz w:val="24"/>
              </w:rPr>
            </w:pPr>
          </w:p>
          <w:p w14:paraId="32887DC2" w14:textId="394D4415" w:rsidR="00F2359B" w:rsidRDefault="00F2359B" w:rsidP="00F2359B">
            <w:pPr>
              <w:pStyle w:val="TableParagraph"/>
              <w:ind w:left="35"/>
              <w:jc w:val="center"/>
              <w:rPr>
                <w:sz w:val="24"/>
              </w:rPr>
            </w:pPr>
          </w:p>
          <w:p w14:paraId="6439B3D7" w14:textId="14B5339F" w:rsidR="00F2359B" w:rsidRDefault="00F2359B" w:rsidP="00F2359B">
            <w:pPr>
              <w:pStyle w:val="TableParagraph"/>
              <w:ind w:left="35"/>
              <w:jc w:val="center"/>
              <w:rPr>
                <w:sz w:val="24"/>
              </w:rPr>
            </w:pPr>
          </w:p>
          <w:p w14:paraId="068A1F8D" w14:textId="07C3C44A" w:rsidR="00F2359B" w:rsidRDefault="00F2359B" w:rsidP="00F2359B">
            <w:pPr>
              <w:pStyle w:val="TableParagraph"/>
              <w:ind w:left="35"/>
              <w:jc w:val="center"/>
              <w:rPr>
                <w:sz w:val="24"/>
              </w:rPr>
            </w:pPr>
            <w:r>
              <w:rPr>
                <w:sz w:val="24"/>
              </w:rPr>
              <w:t>1</w:t>
            </w:r>
            <w:r w:rsidR="001361C5">
              <w:rPr>
                <w:sz w:val="24"/>
              </w:rPr>
              <w:t>7</w:t>
            </w:r>
          </w:p>
          <w:p w14:paraId="7BBE76B2" w14:textId="0DBBC998" w:rsidR="00F2359B" w:rsidRPr="00F323E4" w:rsidRDefault="00F2359B" w:rsidP="00F2359B">
            <w:pPr>
              <w:pStyle w:val="TableParagraph"/>
              <w:ind w:left="35"/>
              <w:jc w:val="center"/>
              <w:rPr>
                <w:sz w:val="24"/>
              </w:rPr>
            </w:pPr>
          </w:p>
        </w:tc>
      </w:tr>
    </w:tbl>
    <w:p w14:paraId="0D59C215" w14:textId="77777777" w:rsidR="00511B56" w:rsidRPr="00F323E4" w:rsidRDefault="00511B56">
      <w:pPr>
        <w:rPr>
          <w:sz w:val="24"/>
        </w:rPr>
        <w:sectPr w:rsidR="00511B56" w:rsidRPr="00F323E4">
          <w:pgSz w:w="11910" w:h="16840"/>
          <w:pgMar w:top="1420" w:right="1680" w:bottom="920" w:left="1280" w:header="0" w:footer="730" w:gutter="0"/>
          <w:cols w:space="720"/>
        </w:sectPr>
      </w:pPr>
    </w:p>
    <w:p w14:paraId="686C24F7" w14:textId="77777777" w:rsidR="006639F9" w:rsidRPr="00F323E4" w:rsidRDefault="006639F9" w:rsidP="006639F9">
      <w:pPr>
        <w:rPr>
          <w:sz w:val="24"/>
          <w:szCs w:val="24"/>
        </w:rPr>
      </w:pPr>
    </w:p>
    <w:p w14:paraId="064D2A1A" w14:textId="77777777" w:rsidR="00F2359B" w:rsidRPr="00F323E4" w:rsidRDefault="00F2359B" w:rsidP="00F2359B">
      <w:pPr>
        <w:pStyle w:val="Heading1"/>
        <w:spacing w:before="78"/>
        <w:ind w:left="2085"/>
        <w:jc w:val="left"/>
      </w:pPr>
      <w:r w:rsidRPr="00F323E4">
        <w:t>LIST OF APPENDICES REFERRED TO</w:t>
      </w:r>
    </w:p>
    <w:p w14:paraId="5954E8A2" w14:textId="77777777" w:rsidR="00F2359B" w:rsidRPr="00F323E4" w:rsidRDefault="00F2359B" w:rsidP="00F2359B">
      <w:pPr>
        <w:pStyle w:val="BodyText"/>
        <w:spacing w:before="7"/>
        <w:ind w:left="0" w:firstLine="0"/>
        <w:rPr>
          <w:b/>
          <w:sz w:val="36"/>
        </w:rPr>
      </w:pPr>
    </w:p>
    <w:p w14:paraId="296D69BE" w14:textId="51A87086" w:rsidR="00F2359B" w:rsidRPr="00F323E4" w:rsidRDefault="00F2359B" w:rsidP="00AE2C42">
      <w:pPr>
        <w:tabs>
          <w:tab w:val="left" w:pos="2236"/>
        </w:tabs>
        <w:ind w:left="2268" w:hanging="2168"/>
        <w:rPr>
          <w:sz w:val="24"/>
        </w:rPr>
      </w:pPr>
      <w:r w:rsidRPr="00F323E4">
        <w:rPr>
          <w:b/>
          <w:sz w:val="24"/>
        </w:rPr>
        <w:t>APPENDIX</w:t>
      </w:r>
      <w:r w:rsidRPr="00F323E4">
        <w:rPr>
          <w:b/>
          <w:spacing w:val="-1"/>
          <w:sz w:val="24"/>
        </w:rPr>
        <w:t xml:space="preserve"> </w:t>
      </w:r>
      <w:r w:rsidRPr="00F323E4">
        <w:rPr>
          <w:b/>
          <w:sz w:val="24"/>
        </w:rPr>
        <w:t>SCC1</w:t>
      </w:r>
      <w:r w:rsidRPr="00F323E4">
        <w:rPr>
          <w:b/>
          <w:sz w:val="24"/>
        </w:rPr>
        <w:tab/>
      </w:r>
      <w:r w:rsidRPr="00F323E4">
        <w:rPr>
          <w:sz w:val="24"/>
        </w:rPr>
        <w:t>5 Year Housing Land Supply Monitoring Report (20</w:t>
      </w:r>
      <w:r>
        <w:rPr>
          <w:sz w:val="24"/>
        </w:rPr>
        <w:t>19</w:t>
      </w:r>
      <w:r w:rsidRPr="00F323E4">
        <w:rPr>
          <w:sz w:val="24"/>
        </w:rPr>
        <w:t>)</w:t>
      </w:r>
      <w:r w:rsidR="00AE2C42">
        <w:rPr>
          <w:sz w:val="24"/>
        </w:rPr>
        <w:t xml:space="preserve"> and associated appendixes 1A, 2A, 3A, 4A</w:t>
      </w:r>
    </w:p>
    <w:p w14:paraId="657E5E29" w14:textId="77777777" w:rsidR="00F2359B" w:rsidRPr="00F323E4" w:rsidRDefault="00F2359B" w:rsidP="00F2359B">
      <w:pPr>
        <w:pStyle w:val="BodyText"/>
        <w:ind w:left="0" w:firstLine="0"/>
        <w:rPr>
          <w:sz w:val="26"/>
        </w:rPr>
      </w:pPr>
    </w:p>
    <w:p w14:paraId="3BEF3751" w14:textId="77777777" w:rsidR="00F2359B" w:rsidRPr="00F323E4" w:rsidRDefault="00F2359B" w:rsidP="00F2359B">
      <w:pPr>
        <w:pStyle w:val="BodyText"/>
        <w:spacing w:before="7"/>
        <w:ind w:left="0" w:firstLine="0"/>
        <w:rPr>
          <w:sz w:val="32"/>
        </w:rPr>
      </w:pPr>
    </w:p>
    <w:p w14:paraId="6329F1E5" w14:textId="04E41BB7" w:rsidR="00F2359B" w:rsidRDefault="00F2359B" w:rsidP="00AE2C42">
      <w:pPr>
        <w:tabs>
          <w:tab w:val="left" w:pos="2236"/>
        </w:tabs>
        <w:ind w:left="2268" w:hanging="2168"/>
        <w:rPr>
          <w:sz w:val="24"/>
        </w:rPr>
      </w:pPr>
      <w:r w:rsidRPr="00F323E4">
        <w:rPr>
          <w:b/>
          <w:sz w:val="24"/>
        </w:rPr>
        <w:t>APPENDIX</w:t>
      </w:r>
      <w:r w:rsidRPr="00F323E4">
        <w:rPr>
          <w:b/>
          <w:spacing w:val="-1"/>
          <w:sz w:val="24"/>
        </w:rPr>
        <w:t xml:space="preserve"> </w:t>
      </w:r>
      <w:r w:rsidRPr="00F323E4">
        <w:rPr>
          <w:b/>
          <w:sz w:val="24"/>
        </w:rPr>
        <w:t>SCC2</w:t>
      </w:r>
      <w:r w:rsidRPr="00F323E4">
        <w:rPr>
          <w:b/>
          <w:sz w:val="24"/>
        </w:rPr>
        <w:tab/>
      </w:r>
      <w:r w:rsidRPr="00F323E4">
        <w:rPr>
          <w:sz w:val="24"/>
        </w:rPr>
        <w:t>5 Year Housing Land Supply Monitoring Report (20</w:t>
      </w:r>
      <w:r>
        <w:rPr>
          <w:sz w:val="24"/>
        </w:rPr>
        <w:t>20</w:t>
      </w:r>
      <w:r w:rsidRPr="00F323E4">
        <w:rPr>
          <w:sz w:val="24"/>
        </w:rPr>
        <w:t>)</w:t>
      </w:r>
      <w:r w:rsidR="00AE2C42">
        <w:rPr>
          <w:sz w:val="24"/>
        </w:rPr>
        <w:t xml:space="preserve"> and associated appendixes 2A, 3A</w:t>
      </w:r>
    </w:p>
    <w:p w14:paraId="6A499D4C" w14:textId="25245729" w:rsidR="001361C5" w:rsidRDefault="001361C5" w:rsidP="00F2359B">
      <w:pPr>
        <w:tabs>
          <w:tab w:val="left" w:pos="2236"/>
        </w:tabs>
        <w:ind w:left="100"/>
        <w:rPr>
          <w:sz w:val="24"/>
        </w:rPr>
      </w:pPr>
    </w:p>
    <w:p w14:paraId="7E307E9B" w14:textId="257601C9" w:rsidR="001361C5" w:rsidRDefault="001361C5" w:rsidP="00F2359B">
      <w:pPr>
        <w:tabs>
          <w:tab w:val="left" w:pos="2236"/>
        </w:tabs>
        <w:ind w:left="100"/>
        <w:rPr>
          <w:sz w:val="24"/>
        </w:rPr>
      </w:pPr>
    </w:p>
    <w:p w14:paraId="09EBE99C" w14:textId="50094066" w:rsidR="001361C5" w:rsidRPr="001361C5" w:rsidRDefault="001361C5" w:rsidP="001361C5">
      <w:pPr>
        <w:tabs>
          <w:tab w:val="left" w:pos="2236"/>
        </w:tabs>
        <w:ind w:left="2160" w:hanging="2060"/>
        <w:rPr>
          <w:bCs/>
          <w:sz w:val="24"/>
        </w:rPr>
      </w:pPr>
      <w:r w:rsidRPr="001361C5">
        <w:rPr>
          <w:b/>
          <w:sz w:val="24"/>
        </w:rPr>
        <w:t>APPENDIX SCC3</w:t>
      </w:r>
      <w:r>
        <w:rPr>
          <w:b/>
          <w:sz w:val="24"/>
        </w:rPr>
        <w:tab/>
      </w:r>
      <w:r>
        <w:rPr>
          <w:bCs/>
          <w:sz w:val="24"/>
        </w:rPr>
        <w:t>Housing and Economic Land Availability Assessment and Site Schedule (2020)</w:t>
      </w:r>
    </w:p>
    <w:p w14:paraId="17D30F3E" w14:textId="77777777" w:rsidR="006639F9" w:rsidRPr="00F323E4" w:rsidRDefault="006639F9" w:rsidP="006639F9">
      <w:pPr>
        <w:rPr>
          <w:sz w:val="24"/>
          <w:szCs w:val="24"/>
        </w:rPr>
      </w:pPr>
    </w:p>
    <w:p w14:paraId="16FC8C80" w14:textId="77777777" w:rsidR="006639F9" w:rsidRPr="00F323E4" w:rsidRDefault="006639F9" w:rsidP="006639F9">
      <w:pPr>
        <w:tabs>
          <w:tab w:val="left" w:pos="820"/>
          <w:tab w:val="left" w:pos="821"/>
        </w:tabs>
        <w:spacing w:before="218"/>
        <w:rPr>
          <w:sz w:val="24"/>
        </w:rPr>
      </w:pPr>
    </w:p>
    <w:p w14:paraId="71A6CF35" w14:textId="77777777" w:rsidR="006639F9" w:rsidRPr="00F323E4" w:rsidRDefault="006639F9" w:rsidP="006639F9">
      <w:pPr>
        <w:tabs>
          <w:tab w:val="left" w:pos="820"/>
          <w:tab w:val="left" w:pos="821"/>
        </w:tabs>
        <w:spacing w:before="218"/>
        <w:rPr>
          <w:sz w:val="24"/>
        </w:rPr>
      </w:pPr>
    </w:p>
    <w:p w14:paraId="276813C0" w14:textId="77777777" w:rsidR="006639F9" w:rsidRPr="00F323E4" w:rsidRDefault="006639F9" w:rsidP="006639F9">
      <w:pPr>
        <w:tabs>
          <w:tab w:val="left" w:pos="820"/>
          <w:tab w:val="left" w:pos="821"/>
        </w:tabs>
        <w:spacing w:before="218"/>
        <w:rPr>
          <w:sz w:val="24"/>
        </w:rPr>
      </w:pPr>
    </w:p>
    <w:p w14:paraId="5ECA6B04" w14:textId="77777777" w:rsidR="006639F9" w:rsidRPr="00F323E4" w:rsidRDefault="006639F9" w:rsidP="006639F9">
      <w:pPr>
        <w:tabs>
          <w:tab w:val="left" w:pos="820"/>
          <w:tab w:val="left" w:pos="821"/>
        </w:tabs>
        <w:spacing w:before="218"/>
        <w:rPr>
          <w:sz w:val="24"/>
        </w:rPr>
      </w:pPr>
    </w:p>
    <w:p w14:paraId="1678501F" w14:textId="77777777" w:rsidR="006639F9" w:rsidRPr="00F323E4" w:rsidRDefault="006639F9" w:rsidP="006639F9">
      <w:pPr>
        <w:tabs>
          <w:tab w:val="left" w:pos="820"/>
          <w:tab w:val="left" w:pos="821"/>
        </w:tabs>
        <w:spacing w:before="218"/>
        <w:rPr>
          <w:sz w:val="24"/>
        </w:rPr>
      </w:pPr>
    </w:p>
    <w:p w14:paraId="20A67CAC" w14:textId="77777777" w:rsidR="006639F9" w:rsidRPr="00F323E4" w:rsidRDefault="006639F9" w:rsidP="006639F9">
      <w:pPr>
        <w:tabs>
          <w:tab w:val="left" w:pos="820"/>
          <w:tab w:val="left" w:pos="821"/>
        </w:tabs>
        <w:spacing w:before="218"/>
        <w:rPr>
          <w:sz w:val="24"/>
        </w:rPr>
      </w:pPr>
    </w:p>
    <w:p w14:paraId="2E0989EF" w14:textId="77777777" w:rsidR="006639F9" w:rsidRPr="00F323E4" w:rsidRDefault="006639F9" w:rsidP="006639F9">
      <w:pPr>
        <w:tabs>
          <w:tab w:val="left" w:pos="820"/>
          <w:tab w:val="left" w:pos="821"/>
        </w:tabs>
        <w:spacing w:before="218"/>
        <w:rPr>
          <w:sz w:val="24"/>
        </w:rPr>
      </w:pPr>
    </w:p>
    <w:p w14:paraId="3EFD592F" w14:textId="77777777" w:rsidR="006639F9" w:rsidRPr="00F323E4" w:rsidRDefault="006639F9" w:rsidP="006639F9">
      <w:pPr>
        <w:tabs>
          <w:tab w:val="left" w:pos="820"/>
          <w:tab w:val="left" w:pos="821"/>
        </w:tabs>
        <w:spacing w:before="218"/>
        <w:rPr>
          <w:sz w:val="24"/>
        </w:rPr>
      </w:pPr>
    </w:p>
    <w:p w14:paraId="1853453B" w14:textId="77777777" w:rsidR="006639F9" w:rsidRPr="00F323E4" w:rsidRDefault="006639F9" w:rsidP="006639F9">
      <w:pPr>
        <w:tabs>
          <w:tab w:val="left" w:pos="820"/>
          <w:tab w:val="left" w:pos="821"/>
        </w:tabs>
        <w:spacing w:before="218"/>
        <w:rPr>
          <w:sz w:val="24"/>
        </w:rPr>
      </w:pPr>
    </w:p>
    <w:p w14:paraId="4D93A427" w14:textId="77777777" w:rsidR="006639F9" w:rsidRPr="00F323E4" w:rsidRDefault="006639F9" w:rsidP="006639F9">
      <w:pPr>
        <w:tabs>
          <w:tab w:val="left" w:pos="820"/>
          <w:tab w:val="left" w:pos="821"/>
        </w:tabs>
        <w:spacing w:before="218"/>
        <w:rPr>
          <w:sz w:val="24"/>
        </w:rPr>
      </w:pPr>
    </w:p>
    <w:p w14:paraId="52D6E729" w14:textId="77777777" w:rsidR="006639F9" w:rsidRPr="00F323E4" w:rsidRDefault="006639F9" w:rsidP="006639F9">
      <w:pPr>
        <w:tabs>
          <w:tab w:val="left" w:pos="820"/>
          <w:tab w:val="left" w:pos="821"/>
        </w:tabs>
        <w:spacing w:before="218"/>
        <w:rPr>
          <w:sz w:val="24"/>
        </w:rPr>
      </w:pPr>
    </w:p>
    <w:p w14:paraId="196EF6EC" w14:textId="77777777" w:rsidR="006639F9" w:rsidRPr="00F323E4" w:rsidRDefault="006639F9" w:rsidP="006639F9">
      <w:pPr>
        <w:tabs>
          <w:tab w:val="left" w:pos="820"/>
          <w:tab w:val="left" w:pos="821"/>
        </w:tabs>
        <w:spacing w:before="218"/>
        <w:rPr>
          <w:sz w:val="24"/>
        </w:rPr>
      </w:pPr>
    </w:p>
    <w:p w14:paraId="3EF1404B" w14:textId="77777777" w:rsidR="00511B56" w:rsidRPr="00F323E4" w:rsidRDefault="006639F9">
      <w:pPr>
        <w:pStyle w:val="BodyText"/>
        <w:spacing w:before="1" w:line="379" w:lineRule="auto"/>
        <w:ind w:left="108" w:right="6860" w:firstLine="0"/>
      </w:pPr>
      <w:r w:rsidRPr="00F323E4">
        <w:t>Sheffield City Council City Growth Service Howden House</w:t>
      </w:r>
    </w:p>
    <w:p w14:paraId="483C6014" w14:textId="77777777" w:rsidR="00511B56" w:rsidRPr="00F323E4" w:rsidRDefault="006639F9">
      <w:pPr>
        <w:pStyle w:val="BodyText"/>
        <w:spacing w:before="8" w:line="379" w:lineRule="auto"/>
        <w:ind w:left="108" w:right="7607" w:firstLine="0"/>
      </w:pPr>
      <w:r w:rsidRPr="00F323E4">
        <w:t>1 Union Street Sheffield</w:t>
      </w:r>
    </w:p>
    <w:p w14:paraId="4F3EA925" w14:textId="5388788E" w:rsidR="00511B56" w:rsidRPr="00F323E4" w:rsidRDefault="006639F9">
      <w:pPr>
        <w:pStyle w:val="BodyText"/>
        <w:tabs>
          <w:tab w:val="left" w:pos="6284"/>
        </w:tabs>
        <w:spacing w:before="5"/>
        <w:ind w:left="120" w:firstLine="0"/>
      </w:pPr>
      <w:r w:rsidRPr="00F323E4">
        <w:t>S1</w:t>
      </w:r>
      <w:r w:rsidRPr="00F323E4">
        <w:rPr>
          <w:spacing w:val="-1"/>
        </w:rPr>
        <w:t xml:space="preserve"> </w:t>
      </w:r>
      <w:r w:rsidRPr="00F323E4">
        <w:t>2SH</w:t>
      </w:r>
      <w:r w:rsidRPr="00F323E4">
        <w:tab/>
      </w:r>
      <w:r w:rsidR="00C6275D" w:rsidRPr="00F323E4">
        <w:t>15</w:t>
      </w:r>
      <w:r w:rsidR="00C6275D" w:rsidRPr="00F323E4">
        <w:rPr>
          <w:vertAlign w:val="superscript"/>
        </w:rPr>
        <w:t>th</w:t>
      </w:r>
      <w:r w:rsidR="00C6275D" w:rsidRPr="00F323E4">
        <w:t xml:space="preserve"> December 2020</w:t>
      </w:r>
    </w:p>
    <w:p w14:paraId="31EBCE07" w14:textId="4D4706E2" w:rsidR="00511B56" w:rsidRPr="00F323E4" w:rsidRDefault="00511B56">
      <w:pPr>
        <w:sectPr w:rsidR="00511B56" w:rsidRPr="00F323E4">
          <w:footerReference w:type="default" r:id="rId9"/>
          <w:pgSz w:w="11910" w:h="16840"/>
          <w:pgMar w:top="1340" w:right="1320" w:bottom="920" w:left="1320" w:header="0" w:footer="561" w:gutter="0"/>
          <w:cols w:space="720"/>
        </w:sectPr>
      </w:pPr>
    </w:p>
    <w:p w14:paraId="3E4BB75D" w14:textId="77777777" w:rsidR="00511B56" w:rsidRPr="00F323E4" w:rsidRDefault="00511B56">
      <w:pPr>
        <w:pStyle w:val="BodyText"/>
        <w:spacing w:before="4"/>
        <w:ind w:left="0" w:firstLine="0"/>
        <w:rPr>
          <w:sz w:val="17"/>
        </w:rPr>
      </w:pPr>
    </w:p>
    <w:p w14:paraId="20704C56" w14:textId="77777777" w:rsidR="00511B56" w:rsidRPr="00F323E4" w:rsidRDefault="00511B56">
      <w:pPr>
        <w:pStyle w:val="BodyText"/>
        <w:ind w:left="0" w:firstLine="0"/>
        <w:rPr>
          <w:sz w:val="26"/>
        </w:rPr>
      </w:pPr>
    </w:p>
    <w:p w14:paraId="0F2D4F6B" w14:textId="77777777" w:rsidR="00511B56" w:rsidRPr="00F323E4" w:rsidRDefault="00511B56">
      <w:pPr>
        <w:pStyle w:val="BodyText"/>
        <w:spacing w:before="9"/>
        <w:ind w:left="0" w:firstLine="0"/>
        <w:rPr>
          <w:sz w:val="32"/>
        </w:rPr>
      </w:pPr>
    </w:p>
    <w:p w14:paraId="65159501" w14:textId="77777777" w:rsidR="00C6275D" w:rsidRPr="00F323E4" w:rsidRDefault="00C6275D">
      <w:pPr>
        <w:tabs>
          <w:tab w:val="left" w:pos="2260"/>
        </w:tabs>
        <w:ind w:left="100"/>
        <w:rPr>
          <w:b/>
        </w:rPr>
        <w:sectPr w:rsidR="00C6275D" w:rsidRPr="00F323E4">
          <w:pgSz w:w="11910" w:h="16840"/>
          <w:pgMar w:top="1340" w:right="1680" w:bottom="760" w:left="1340" w:header="0" w:footer="561" w:gutter="0"/>
          <w:cols w:space="720"/>
        </w:sectPr>
      </w:pPr>
    </w:p>
    <w:p w14:paraId="3C54E48F" w14:textId="59658DFE" w:rsidR="00C6275D" w:rsidRPr="00F323E4" w:rsidRDefault="00C6275D" w:rsidP="00311644">
      <w:pPr>
        <w:pStyle w:val="Heading1"/>
        <w:ind w:left="0"/>
        <w:jc w:val="left"/>
      </w:pPr>
      <w:r w:rsidRPr="00F323E4">
        <w:lastRenderedPageBreak/>
        <w:t>1.0 Introduction</w:t>
      </w:r>
    </w:p>
    <w:p w14:paraId="32B40D9D" w14:textId="407B06C5" w:rsidR="00C6275D" w:rsidRPr="00F323E4" w:rsidRDefault="00C6275D" w:rsidP="00C6275D">
      <w:pPr>
        <w:pStyle w:val="BodyText"/>
      </w:pPr>
    </w:p>
    <w:p w14:paraId="4ABF7906" w14:textId="198ADF26" w:rsidR="00C6275D" w:rsidRPr="00F323E4" w:rsidRDefault="00C6275D" w:rsidP="00C6275D">
      <w:pPr>
        <w:pStyle w:val="BodyText"/>
        <w:ind w:hanging="820"/>
      </w:pPr>
    </w:p>
    <w:p w14:paraId="7F9F70F8" w14:textId="66F3FC3C" w:rsidR="00C6275D" w:rsidRPr="00F323E4" w:rsidRDefault="00C6275D" w:rsidP="00E27174">
      <w:pPr>
        <w:pStyle w:val="BodyText"/>
        <w:numPr>
          <w:ilvl w:val="1"/>
          <w:numId w:val="17"/>
        </w:numPr>
        <w:spacing w:line="480" w:lineRule="auto"/>
        <w:ind w:left="822"/>
        <w:rPr>
          <w:i/>
          <w:iCs/>
        </w:rPr>
      </w:pPr>
      <w:r w:rsidRPr="00F323E4">
        <w:t xml:space="preserve">This proof of evidence is </w:t>
      </w:r>
      <w:r w:rsidR="00866060" w:rsidRPr="00F323E4">
        <w:t>prepared</w:t>
      </w:r>
      <w:r w:rsidRPr="00F323E4">
        <w:t xml:space="preserve"> in respect of the appeal by Avant Homes Central against the decision of Sheffield City Council to refuse plan</w:t>
      </w:r>
      <w:r w:rsidR="00866060" w:rsidRPr="00F323E4">
        <w:t>ning permission for land off Moorthorpe Way, Sheffield for ‘</w:t>
      </w:r>
      <w:r w:rsidR="00866060" w:rsidRPr="00F323E4">
        <w:rPr>
          <w:i/>
          <w:iCs/>
        </w:rPr>
        <w:t xml:space="preserve">erection of 74 no. dwellings, formation of access road, associated landscaping works, open space works and flood storage </w:t>
      </w:r>
      <w:proofErr w:type="gramStart"/>
      <w:r w:rsidR="00866060" w:rsidRPr="00F323E4">
        <w:rPr>
          <w:i/>
          <w:iCs/>
        </w:rPr>
        <w:t>works’</w:t>
      </w:r>
      <w:proofErr w:type="gramEnd"/>
      <w:r w:rsidR="00866060" w:rsidRPr="00F323E4">
        <w:rPr>
          <w:i/>
          <w:iCs/>
        </w:rPr>
        <w:t xml:space="preserve">. </w:t>
      </w:r>
      <w:r w:rsidR="00AE2C42">
        <w:t xml:space="preserve"> It addresses the issue of </w:t>
      </w:r>
      <w:proofErr w:type="gramStart"/>
      <w:r w:rsidR="00AE2C42">
        <w:t>5 year</w:t>
      </w:r>
      <w:proofErr w:type="gramEnd"/>
      <w:r w:rsidR="00AE2C42">
        <w:t xml:space="preserve"> housing land supply.</w:t>
      </w:r>
    </w:p>
    <w:p w14:paraId="40F691E7" w14:textId="46AA0D01" w:rsidR="00866060" w:rsidRPr="00F323E4" w:rsidRDefault="00866060" w:rsidP="00E27174">
      <w:pPr>
        <w:pStyle w:val="BodyText"/>
        <w:spacing w:line="480" w:lineRule="auto"/>
        <w:ind w:left="822" w:firstLine="0"/>
      </w:pPr>
    </w:p>
    <w:p w14:paraId="22825B26" w14:textId="49AB670A" w:rsidR="00866060" w:rsidRPr="00F323E4" w:rsidRDefault="00866060" w:rsidP="00E27174">
      <w:pPr>
        <w:pStyle w:val="BodyText"/>
        <w:numPr>
          <w:ilvl w:val="1"/>
          <w:numId w:val="17"/>
        </w:numPr>
        <w:spacing w:line="480" w:lineRule="auto"/>
        <w:ind w:left="822"/>
      </w:pPr>
      <w:r w:rsidRPr="00F323E4">
        <w:t>My name is Laura Stephens.  I am a Planning Officer at Sheffield City Council</w:t>
      </w:r>
      <w:r w:rsidR="00AE2C42">
        <w:t>; a</w:t>
      </w:r>
      <w:r w:rsidRPr="00F323E4">
        <w:t xml:space="preserve"> position</w:t>
      </w:r>
      <w:r w:rsidR="00AE2C42">
        <w:t xml:space="preserve"> I have held</w:t>
      </w:r>
      <w:r w:rsidRPr="00F323E4">
        <w:t xml:space="preserve"> for 16 years.</w:t>
      </w:r>
    </w:p>
    <w:p w14:paraId="2D5C5E50" w14:textId="77777777" w:rsidR="00311644" w:rsidRPr="00F323E4" w:rsidRDefault="00311644" w:rsidP="00E27174">
      <w:pPr>
        <w:pStyle w:val="ListParagraph"/>
        <w:spacing w:line="480" w:lineRule="auto"/>
        <w:ind w:left="822"/>
      </w:pPr>
    </w:p>
    <w:p w14:paraId="13FEB46C" w14:textId="26E73CA8" w:rsidR="00311644" w:rsidRPr="00F323E4" w:rsidRDefault="00311644" w:rsidP="00E27174">
      <w:pPr>
        <w:pStyle w:val="BodyText"/>
        <w:numPr>
          <w:ilvl w:val="1"/>
          <w:numId w:val="17"/>
        </w:numPr>
        <w:spacing w:line="480" w:lineRule="auto"/>
        <w:ind w:left="822"/>
      </w:pPr>
      <w:r w:rsidRPr="00F323E4">
        <w:t xml:space="preserve">I have an MA in Town and Regional Planning from the University of Sheffield (2004). </w:t>
      </w:r>
    </w:p>
    <w:p w14:paraId="53F9CD2B" w14:textId="77777777" w:rsidR="00866060" w:rsidRPr="00F323E4" w:rsidRDefault="00866060" w:rsidP="00E27174">
      <w:pPr>
        <w:pStyle w:val="ListParagraph"/>
        <w:spacing w:line="480" w:lineRule="auto"/>
        <w:ind w:left="822"/>
      </w:pPr>
    </w:p>
    <w:p w14:paraId="2840AB56" w14:textId="613A4D60" w:rsidR="00866060" w:rsidRPr="00F323E4" w:rsidRDefault="00866060" w:rsidP="00E27174">
      <w:pPr>
        <w:pStyle w:val="BodyText"/>
        <w:numPr>
          <w:ilvl w:val="1"/>
          <w:numId w:val="17"/>
        </w:numPr>
        <w:spacing w:line="480" w:lineRule="auto"/>
        <w:ind w:left="822"/>
      </w:pPr>
      <w:r w:rsidRPr="00F323E4">
        <w:t xml:space="preserve">I confirm that the evidence I give which I have prepared and provided </w:t>
      </w:r>
      <w:r w:rsidR="00311644" w:rsidRPr="00F323E4">
        <w:t xml:space="preserve">in relation to </w:t>
      </w:r>
      <w:proofErr w:type="gramStart"/>
      <w:r w:rsidR="00311644" w:rsidRPr="00F323E4">
        <w:t>5 year</w:t>
      </w:r>
      <w:proofErr w:type="gramEnd"/>
      <w:r w:rsidR="00311644" w:rsidRPr="00F323E4">
        <w:t xml:space="preserve"> housing land supply </w:t>
      </w:r>
      <w:r w:rsidRPr="00F323E4">
        <w:t>for this appeal are my true and professional opinions.</w:t>
      </w:r>
    </w:p>
    <w:p w14:paraId="576B92EC" w14:textId="77777777" w:rsidR="00311644" w:rsidRPr="00F323E4" w:rsidRDefault="00311644" w:rsidP="00E27174">
      <w:pPr>
        <w:pStyle w:val="ListParagraph"/>
        <w:spacing w:line="480" w:lineRule="auto"/>
        <w:ind w:left="822"/>
      </w:pPr>
    </w:p>
    <w:p w14:paraId="14B74F58" w14:textId="4ACCBE77" w:rsidR="00311644" w:rsidRPr="00F323E4" w:rsidRDefault="00311644" w:rsidP="00E27174">
      <w:pPr>
        <w:pStyle w:val="BodyText"/>
        <w:numPr>
          <w:ilvl w:val="1"/>
          <w:numId w:val="17"/>
        </w:numPr>
        <w:spacing w:line="480" w:lineRule="auto"/>
        <w:ind w:left="822"/>
      </w:pPr>
      <w:r w:rsidRPr="00F323E4">
        <w:t xml:space="preserve">This proof of evidence sets out the position that the Council can demonstrate a </w:t>
      </w:r>
      <w:proofErr w:type="gramStart"/>
      <w:r w:rsidR="00E27174" w:rsidRPr="00F323E4">
        <w:t>5</w:t>
      </w:r>
      <w:r w:rsidRPr="00F323E4">
        <w:t xml:space="preserve"> year</w:t>
      </w:r>
      <w:proofErr w:type="gramEnd"/>
      <w:r w:rsidRPr="00F323E4">
        <w:t xml:space="preserve"> housing land supply against the requirement as required by paragraph 73 of the NPPF.  The position I set out relates to the evidence available at the current time (December 2020).</w:t>
      </w:r>
    </w:p>
    <w:p w14:paraId="07FC121F" w14:textId="77777777" w:rsidR="00311644" w:rsidRPr="00F323E4" w:rsidRDefault="00311644" w:rsidP="00E27174">
      <w:pPr>
        <w:pStyle w:val="ListParagraph"/>
        <w:spacing w:line="480" w:lineRule="auto"/>
        <w:ind w:left="822"/>
      </w:pPr>
    </w:p>
    <w:p w14:paraId="55C3824C" w14:textId="13F6283C" w:rsidR="00311644" w:rsidRPr="00F323E4" w:rsidRDefault="00311644" w:rsidP="00E27174">
      <w:pPr>
        <w:pStyle w:val="BodyText"/>
        <w:numPr>
          <w:ilvl w:val="1"/>
          <w:numId w:val="17"/>
        </w:numPr>
        <w:spacing w:line="480" w:lineRule="auto"/>
        <w:ind w:left="822"/>
      </w:pPr>
      <w:r w:rsidRPr="00F323E4">
        <w:t xml:space="preserve">At the time the application was determined the Council was able to demonstrate a </w:t>
      </w:r>
      <w:proofErr w:type="gramStart"/>
      <w:r w:rsidRPr="00F323E4">
        <w:t>5.1 year</w:t>
      </w:r>
      <w:proofErr w:type="gramEnd"/>
      <w:r w:rsidRPr="00F323E4">
        <w:t xml:space="preserve"> supply of deliverable housing land, using a base date of 1 April 2019.  The Council’s position has changed, as further annual </w:t>
      </w:r>
      <w:r w:rsidRPr="00F323E4">
        <w:lastRenderedPageBreak/>
        <w:t xml:space="preserve">monitoring of the housing land supply has subsequently taken place and the evidence updated.  Using the base date </w:t>
      </w:r>
      <w:proofErr w:type="gramStart"/>
      <w:r w:rsidRPr="00F323E4">
        <w:t>1 April 2020</w:t>
      </w:r>
      <w:proofErr w:type="gramEnd"/>
      <w:r w:rsidRPr="00F323E4">
        <w:t xml:space="preserve"> the Council can now demonstrate a 5.4 year deliverable supply of housing land.</w:t>
      </w:r>
    </w:p>
    <w:p w14:paraId="0DE1C392" w14:textId="51B90173" w:rsidR="00311644" w:rsidRPr="00F323E4" w:rsidRDefault="00311644" w:rsidP="00311644">
      <w:pPr>
        <w:pStyle w:val="BodyText"/>
        <w:ind w:firstLine="0"/>
      </w:pPr>
    </w:p>
    <w:p w14:paraId="55758077" w14:textId="4DF61E78" w:rsidR="00311644" w:rsidRPr="00F323E4" w:rsidRDefault="00311644" w:rsidP="00311644">
      <w:pPr>
        <w:pStyle w:val="Heading1"/>
        <w:jc w:val="left"/>
        <w:rPr>
          <w:sz w:val="24"/>
        </w:rPr>
        <w:sectPr w:rsidR="00311644" w:rsidRPr="00F323E4">
          <w:pgSz w:w="11910" w:h="16840"/>
          <w:pgMar w:top="1340" w:right="1680" w:bottom="760" w:left="1340" w:header="0" w:footer="561" w:gutter="0"/>
          <w:cols w:space="720"/>
        </w:sectPr>
      </w:pPr>
    </w:p>
    <w:p w14:paraId="2BBFD40D" w14:textId="56E11FD3" w:rsidR="00511B56" w:rsidRPr="00F323E4" w:rsidRDefault="00311644" w:rsidP="00E27174">
      <w:pPr>
        <w:pStyle w:val="Heading1"/>
        <w:spacing w:line="480" w:lineRule="auto"/>
        <w:ind w:left="0"/>
        <w:jc w:val="left"/>
        <w:rPr>
          <w:sz w:val="24"/>
        </w:rPr>
      </w:pPr>
      <w:r w:rsidRPr="00F323E4">
        <w:rPr>
          <w:sz w:val="24"/>
        </w:rPr>
        <w:lastRenderedPageBreak/>
        <w:t>2.0 Planning Policy Context</w:t>
      </w:r>
    </w:p>
    <w:p w14:paraId="6915A4A1" w14:textId="5E53F713" w:rsidR="00E27174" w:rsidRPr="00F323E4" w:rsidRDefault="00E27174" w:rsidP="00E27174">
      <w:pPr>
        <w:pStyle w:val="BodyText"/>
        <w:spacing w:line="480" w:lineRule="auto"/>
        <w:ind w:left="822" w:hanging="822"/>
      </w:pPr>
      <w:r w:rsidRPr="00E27174">
        <w:rPr>
          <w:rFonts w:eastAsia="Times New Roman"/>
          <w:b/>
          <w:bCs/>
          <w:color w:val="000000"/>
          <w:lang w:val="en-GB" w:eastAsia="en-GB"/>
        </w:rPr>
        <w:t>National Planning Policy Framework (NPPF</w:t>
      </w:r>
      <w:r w:rsidRPr="00F323E4">
        <w:rPr>
          <w:rFonts w:eastAsia="Times New Roman"/>
          <w:b/>
          <w:bCs/>
          <w:color w:val="000000"/>
          <w:lang w:val="en-GB" w:eastAsia="en-GB"/>
        </w:rPr>
        <w:t>)</w:t>
      </w:r>
    </w:p>
    <w:p w14:paraId="6E604C15" w14:textId="41880EB9" w:rsidR="00311644" w:rsidRPr="00F323E4" w:rsidRDefault="00311644" w:rsidP="00E27174">
      <w:pPr>
        <w:pStyle w:val="BodyText"/>
        <w:spacing w:line="480" w:lineRule="auto"/>
        <w:ind w:left="822" w:hanging="822"/>
        <w:rPr>
          <w:rFonts w:eastAsiaTheme="minorHAnsi"/>
          <w:lang w:val="en-GB"/>
        </w:rPr>
      </w:pPr>
      <w:r w:rsidRPr="00F323E4">
        <w:t xml:space="preserve">2.1 </w:t>
      </w:r>
      <w:r w:rsidR="00E27174" w:rsidRPr="00F323E4">
        <w:tab/>
      </w:r>
      <w:r w:rsidR="00E27174" w:rsidRPr="00E27174">
        <w:rPr>
          <w:rFonts w:eastAsiaTheme="minorHAnsi"/>
          <w:lang w:val="en-GB"/>
        </w:rPr>
        <w:t>The current version of the NPPF was published in February 2019.</w:t>
      </w:r>
      <w:r w:rsidR="00E27174" w:rsidRPr="00F323E4">
        <w:rPr>
          <w:rFonts w:eastAsiaTheme="minorHAnsi"/>
          <w:lang w:val="en-GB"/>
        </w:rPr>
        <w:t xml:space="preserve"> </w:t>
      </w:r>
      <w:r w:rsidR="00E27174" w:rsidRPr="00E27174">
        <w:rPr>
          <w:rFonts w:eastAsiaTheme="minorHAnsi"/>
          <w:lang w:val="en-GB"/>
        </w:rPr>
        <w:t xml:space="preserve"> In relation to housing land supply, the following sections are relevant</w:t>
      </w:r>
      <w:r w:rsidR="00E27174" w:rsidRPr="00F323E4">
        <w:rPr>
          <w:rFonts w:eastAsiaTheme="minorHAnsi"/>
          <w:lang w:val="en-GB"/>
        </w:rPr>
        <w:t>.</w:t>
      </w:r>
    </w:p>
    <w:p w14:paraId="3A24A5CA" w14:textId="45CAFC13" w:rsidR="00E27174" w:rsidRPr="00F323E4" w:rsidRDefault="00E27174" w:rsidP="00E27174">
      <w:pPr>
        <w:pStyle w:val="BodyText"/>
        <w:spacing w:line="480" w:lineRule="auto"/>
        <w:ind w:hanging="820"/>
        <w:rPr>
          <w:rFonts w:eastAsia="Times New Roman"/>
          <w:color w:val="000000"/>
          <w:lang w:val="en-GB" w:eastAsia="en-GB"/>
        </w:rPr>
      </w:pPr>
      <w:r w:rsidRPr="00F323E4">
        <w:t>2.2</w:t>
      </w:r>
      <w:r w:rsidRPr="00F323E4">
        <w:tab/>
      </w:r>
      <w:r w:rsidRPr="00E27174">
        <w:rPr>
          <w:rFonts w:eastAsia="Times New Roman"/>
          <w:color w:val="000000"/>
          <w:lang w:val="en-GB" w:eastAsia="en-GB"/>
        </w:rPr>
        <w:t>Paragraph 73 of the NPPF states that</w:t>
      </w:r>
      <w:r w:rsidRPr="00F323E4">
        <w:rPr>
          <w:rFonts w:eastAsia="Times New Roman"/>
          <w:color w:val="000000"/>
          <w:lang w:val="en-GB" w:eastAsia="en-GB"/>
        </w:rPr>
        <w:t>:</w:t>
      </w:r>
    </w:p>
    <w:p w14:paraId="1674CE7E" w14:textId="36090175" w:rsidR="00E27174" w:rsidRPr="00E27174" w:rsidRDefault="00E27174" w:rsidP="00E27174">
      <w:pPr>
        <w:widowControl/>
        <w:autoSpaceDE/>
        <w:autoSpaceDN/>
        <w:spacing w:line="480" w:lineRule="auto"/>
        <w:ind w:left="851"/>
        <w:rPr>
          <w:rFonts w:eastAsia="Times New Roman"/>
          <w:sz w:val="24"/>
          <w:szCs w:val="24"/>
          <w:lang w:val="en-GB" w:eastAsia="en-GB"/>
        </w:rPr>
      </w:pPr>
      <w:r w:rsidRPr="00E27174">
        <w:rPr>
          <w:rFonts w:eastAsia="Times New Roman"/>
          <w:i/>
          <w:iCs/>
          <w:color w:val="000000"/>
          <w:sz w:val="24"/>
          <w:szCs w:val="24"/>
          <w:lang w:val="en-GB" w:eastAsia="en-GB"/>
        </w:rPr>
        <w:t>‘Local planning authorities should identify and update annually a supply of specific deliverable sites sufficient to provide a minimum of five years’ worth of housing against their housing requirement set out in adopted strategic policies, or against their local housing need where the strategic policies are more than five years old.  The supply of specific deliverable sites should in addition include a buffer (moved forward from later in the plan period) of:</w:t>
      </w:r>
    </w:p>
    <w:p w14:paraId="1BA58C08" w14:textId="7DD1EE36" w:rsidR="00E27174" w:rsidRPr="00F323E4" w:rsidRDefault="00E27174" w:rsidP="00E27174">
      <w:pPr>
        <w:pStyle w:val="ListParagraph"/>
        <w:widowControl/>
        <w:numPr>
          <w:ilvl w:val="0"/>
          <w:numId w:val="30"/>
        </w:numPr>
        <w:tabs>
          <w:tab w:val="clear" w:pos="720"/>
          <w:tab w:val="num" w:pos="851"/>
        </w:tabs>
        <w:autoSpaceDE/>
        <w:autoSpaceDN/>
        <w:spacing w:line="480" w:lineRule="auto"/>
        <w:ind w:left="851" w:firstLine="0"/>
        <w:textAlignment w:val="baseline"/>
        <w:rPr>
          <w:rFonts w:eastAsia="Times New Roman"/>
          <w:i/>
          <w:iCs/>
          <w:color w:val="000000"/>
          <w:sz w:val="24"/>
          <w:szCs w:val="24"/>
          <w:lang w:val="en-GB" w:eastAsia="en-GB"/>
        </w:rPr>
      </w:pPr>
      <w:r w:rsidRPr="00F323E4">
        <w:rPr>
          <w:rFonts w:eastAsia="Times New Roman"/>
          <w:i/>
          <w:iCs/>
          <w:color w:val="000000"/>
          <w:sz w:val="24"/>
          <w:szCs w:val="24"/>
          <w:lang w:val="en-GB" w:eastAsia="en-GB"/>
        </w:rPr>
        <w:t>5% to ensure choice and competition in the market for land; or</w:t>
      </w:r>
    </w:p>
    <w:p w14:paraId="38F9E1ED" w14:textId="4CECDE66" w:rsidR="00E27174" w:rsidRPr="00F323E4" w:rsidRDefault="00E27174" w:rsidP="00E27174">
      <w:pPr>
        <w:pStyle w:val="ListParagraph"/>
        <w:widowControl/>
        <w:numPr>
          <w:ilvl w:val="0"/>
          <w:numId w:val="30"/>
        </w:numPr>
        <w:tabs>
          <w:tab w:val="clear" w:pos="720"/>
          <w:tab w:val="num" w:pos="851"/>
        </w:tabs>
        <w:autoSpaceDE/>
        <w:autoSpaceDN/>
        <w:spacing w:line="480" w:lineRule="auto"/>
        <w:ind w:left="851" w:firstLine="0"/>
        <w:textAlignment w:val="baseline"/>
        <w:rPr>
          <w:rFonts w:eastAsia="Times New Roman"/>
          <w:i/>
          <w:iCs/>
          <w:color w:val="000000"/>
          <w:sz w:val="24"/>
          <w:szCs w:val="24"/>
          <w:lang w:val="en-GB" w:eastAsia="en-GB"/>
        </w:rPr>
      </w:pPr>
      <w:r w:rsidRPr="00F323E4">
        <w:rPr>
          <w:rFonts w:eastAsia="Times New Roman"/>
          <w:i/>
          <w:iCs/>
          <w:color w:val="000000"/>
          <w:sz w:val="24"/>
          <w:szCs w:val="24"/>
          <w:lang w:val="en-GB" w:eastAsia="en-GB"/>
        </w:rPr>
        <w:t>10% where the local planning authority wishes to demonstrate a five year supply of deliverable sites through an annual position statement or recently adopted plan, to account for any fluctuations in the market during that year; or</w:t>
      </w:r>
    </w:p>
    <w:p w14:paraId="17354A82" w14:textId="7D7F0C96" w:rsidR="00E27174" w:rsidRPr="00F323E4" w:rsidRDefault="00E27174" w:rsidP="00E27174">
      <w:pPr>
        <w:pStyle w:val="BodyText"/>
        <w:numPr>
          <w:ilvl w:val="0"/>
          <w:numId w:val="30"/>
        </w:numPr>
        <w:tabs>
          <w:tab w:val="clear" w:pos="720"/>
        </w:tabs>
        <w:spacing w:line="480" w:lineRule="auto"/>
        <w:ind w:left="851" w:firstLine="0"/>
      </w:pPr>
      <w:r w:rsidRPr="00E27174">
        <w:rPr>
          <w:rFonts w:eastAsia="Times New Roman"/>
          <w:i/>
          <w:iCs/>
          <w:color w:val="000000"/>
          <w:lang w:val="en-GB" w:eastAsia="en-GB"/>
        </w:rPr>
        <w:t>20% where there has been significant under delivery of housing over the previous three years, to improve the prospect of achieving the planned supply</w:t>
      </w:r>
      <w:r w:rsidRPr="00F323E4">
        <w:rPr>
          <w:rFonts w:eastAsia="Times New Roman"/>
          <w:i/>
          <w:iCs/>
          <w:color w:val="000000"/>
          <w:lang w:val="en-GB" w:eastAsia="en-GB"/>
        </w:rPr>
        <w:t>.</w:t>
      </w:r>
    </w:p>
    <w:p w14:paraId="090199A4" w14:textId="6E5A03E0" w:rsidR="00E27174" w:rsidRPr="00F323E4" w:rsidRDefault="00E27174" w:rsidP="00E27174">
      <w:pPr>
        <w:pStyle w:val="BodyText"/>
        <w:spacing w:line="480" w:lineRule="auto"/>
        <w:ind w:left="822" w:hanging="822"/>
      </w:pPr>
      <w:r w:rsidRPr="00F323E4">
        <w:t>2.3</w:t>
      </w:r>
      <w:r w:rsidRPr="00F323E4">
        <w:tab/>
      </w:r>
      <w:r w:rsidRPr="00E27174">
        <w:rPr>
          <w:rFonts w:eastAsia="Times New Roman"/>
          <w:color w:val="000000"/>
          <w:lang w:val="en-GB" w:eastAsia="en-GB"/>
        </w:rPr>
        <w:t>Furthermore, paragraph 70 notes that</w:t>
      </w:r>
      <w:r w:rsidRPr="00F323E4">
        <w:rPr>
          <w:rFonts w:eastAsia="Times New Roman"/>
          <w:color w:val="000000"/>
          <w:lang w:val="en-GB" w:eastAsia="en-GB"/>
        </w:rPr>
        <w:t>:</w:t>
      </w:r>
    </w:p>
    <w:p w14:paraId="6645E32C" w14:textId="65FAA49B" w:rsidR="00E27174" w:rsidRPr="00F323E4" w:rsidRDefault="00E27174" w:rsidP="00E27174">
      <w:pPr>
        <w:pStyle w:val="BodyText"/>
        <w:spacing w:line="480" w:lineRule="auto"/>
        <w:ind w:left="851" w:firstLine="0"/>
        <w:rPr>
          <w:rFonts w:eastAsia="Times New Roman"/>
          <w:i/>
          <w:iCs/>
          <w:color w:val="000000"/>
          <w:lang w:val="en-GB" w:eastAsia="en-GB"/>
        </w:rPr>
      </w:pPr>
      <w:r w:rsidRPr="00E27174">
        <w:rPr>
          <w:rFonts w:eastAsia="Times New Roman"/>
          <w:i/>
          <w:iCs/>
          <w:color w:val="000000"/>
          <w:lang w:val="en-GB" w:eastAsia="en-GB"/>
        </w:rPr>
        <w:t>‘Where an allowance is to be made for windfall sites as part of anticipated supply, there should be compelling evidence that they will provide a reliable source of supply.  Any allowance should be realistic having regard to the strategic housing land availability assessment, historic windfall delivery rates and expected future trends</w:t>
      </w:r>
      <w:r w:rsidRPr="00F323E4">
        <w:rPr>
          <w:rFonts w:eastAsia="Times New Roman"/>
          <w:i/>
          <w:iCs/>
          <w:color w:val="000000"/>
          <w:lang w:val="en-GB" w:eastAsia="en-GB"/>
        </w:rPr>
        <w:t>.</w:t>
      </w:r>
    </w:p>
    <w:p w14:paraId="5B89B46F" w14:textId="4CDBF644" w:rsidR="00E27174" w:rsidRPr="00F323E4" w:rsidRDefault="00E27174" w:rsidP="00E27174">
      <w:pPr>
        <w:pStyle w:val="BodyText"/>
        <w:spacing w:line="480" w:lineRule="auto"/>
        <w:ind w:left="851" w:firstLine="0"/>
        <w:rPr>
          <w:rFonts w:eastAsia="Times New Roman"/>
          <w:i/>
          <w:iCs/>
          <w:color w:val="000000"/>
          <w:lang w:val="en-GB" w:eastAsia="en-GB"/>
        </w:rPr>
      </w:pPr>
    </w:p>
    <w:p w14:paraId="2D8376C8" w14:textId="03F79689" w:rsidR="00E27174" w:rsidRPr="00F323E4" w:rsidRDefault="00E27174" w:rsidP="00F42E49">
      <w:pPr>
        <w:pStyle w:val="BodyText"/>
        <w:spacing w:line="480" w:lineRule="auto"/>
        <w:ind w:left="851" w:hanging="851"/>
        <w:rPr>
          <w:rFonts w:eastAsia="Times New Roman"/>
          <w:color w:val="000000"/>
          <w:lang w:val="en-GB" w:eastAsia="en-GB"/>
        </w:rPr>
      </w:pPr>
      <w:r w:rsidRPr="00F323E4">
        <w:rPr>
          <w:rFonts w:eastAsia="Times New Roman"/>
          <w:color w:val="000000"/>
          <w:lang w:val="en-GB" w:eastAsia="en-GB"/>
        </w:rPr>
        <w:lastRenderedPageBreak/>
        <w:t>2.4</w:t>
      </w:r>
      <w:r w:rsidRPr="00F323E4">
        <w:rPr>
          <w:rFonts w:eastAsia="Times New Roman"/>
          <w:color w:val="000000"/>
          <w:lang w:val="en-GB" w:eastAsia="en-GB"/>
        </w:rPr>
        <w:tab/>
      </w:r>
      <w:r w:rsidR="00F42E49" w:rsidRPr="00E27174">
        <w:rPr>
          <w:rFonts w:eastAsia="Times New Roman"/>
          <w:color w:val="000000"/>
          <w:lang w:val="en-GB" w:eastAsia="en-GB"/>
        </w:rPr>
        <w:t>Annex 2 defines ‘deliverable’ and in essence sets out the scope of sites that can be included within the assessment of 5 year deliverable housing land supply and the evidence required to support inclusion</w:t>
      </w:r>
      <w:r w:rsidR="00F42E49" w:rsidRPr="00F323E4">
        <w:rPr>
          <w:rFonts w:eastAsia="Times New Roman"/>
          <w:color w:val="000000"/>
          <w:lang w:val="en-GB" w:eastAsia="en-GB"/>
        </w:rPr>
        <w:t>.</w:t>
      </w:r>
    </w:p>
    <w:p w14:paraId="4C56B310" w14:textId="563987C3" w:rsidR="00F42E49" w:rsidRPr="00F323E4" w:rsidRDefault="00F42E49" w:rsidP="002E6000">
      <w:pPr>
        <w:pStyle w:val="BodyText"/>
        <w:spacing w:line="480" w:lineRule="auto"/>
        <w:ind w:left="851" w:hanging="851"/>
        <w:rPr>
          <w:rFonts w:eastAsia="Times New Roman"/>
          <w:color w:val="000000"/>
          <w:lang w:val="en-GB" w:eastAsia="en-GB"/>
        </w:rPr>
      </w:pPr>
      <w:r w:rsidRPr="00F323E4">
        <w:rPr>
          <w:rFonts w:eastAsia="Times New Roman"/>
          <w:color w:val="000000"/>
          <w:lang w:val="en-GB" w:eastAsia="en-GB"/>
        </w:rPr>
        <w:t>2.5</w:t>
      </w:r>
      <w:r w:rsidRPr="00F323E4">
        <w:rPr>
          <w:rFonts w:eastAsia="Times New Roman"/>
          <w:color w:val="000000"/>
          <w:lang w:val="en-GB" w:eastAsia="en-GB"/>
        </w:rPr>
        <w:tab/>
      </w:r>
      <w:r w:rsidRPr="00E27174">
        <w:rPr>
          <w:rFonts w:eastAsia="Times New Roman"/>
          <w:color w:val="000000"/>
          <w:lang w:val="en-GB" w:eastAsia="en-GB"/>
        </w:rPr>
        <w:t>The definition of deliverable is as follows</w:t>
      </w:r>
      <w:r w:rsidRPr="00F323E4">
        <w:rPr>
          <w:rFonts w:eastAsia="Times New Roman"/>
          <w:color w:val="000000"/>
          <w:lang w:val="en-GB" w:eastAsia="en-GB"/>
        </w:rPr>
        <w:t>:</w:t>
      </w:r>
    </w:p>
    <w:p w14:paraId="781A37DD" w14:textId="771EB1FB" w:rsidR="00F42E49" w:rsidRPr="00F323E4" w:rsidRDefault="00F42E49" w:rsidP="002E6000">
      <w:pPr>
        <w:pStyle w:val="BodyText"/>
        <w:spacing w:line="480" w:lineRule="auto"/>
        <w:ind w:left="851" w:firstLine="0"/>
        <w:rPr>
          <w:rFonts w:eastAsia="Times New Roman"/>
          <w:i/>
          <w:iCs/>
          <w:color w:val="000000"/>
          <w:lang w:val="en-GB" w:eastAsia="en-GB"/>
        </w:rPr>
      </w:pPr>
      <w:r w:rsidRPr="00E27174">
        <w:rPr>
          <w:rFonts w:eastAsia="Times New Roman"/>
          <w:i/>
          <w:iCs/>
          <w:color w:val="000000"/>
          <w:lang w:val="en-GB" w:eastAsia="en-GB"/>
        </w:rPr>
        <w:t>‘To be considered deliverable, sites for housing should be available now, offer a suitable location for development now, and be achievable with a realistic prospect that housing will be delivered on the site within five years.  In particular:</w:t>
      </w:r>
    </w:p>
    <w:p w14:paraId="6F9EECB5" w14:textId="7D297F7D" w:rsidR="00F42E49" w:rsidRPr="00F323E4" w:rsidRDefault="00F42E49" w:rsidP="002E6000">
      <w:pPr>
        <w:pStyle w:val="BodyText"/>
        <w:numPr>
          <w:ilvl w:val="0"/>
          <w:numId w:val="31"/>
        </w:numPr>
        <w:spacing w:line="480" w:lineRule="auto"/>
        <w:ind w:left="851" w:firstLine="0"/>
      </w:pPr>
      <w:r w:rsidRPr="00E27174">
        <w:rPr>
          <w:rFonts w:eastAsia="Times New Roman"/>
          <w:i/>
          <w:iCs/>
          <w:color w:val="000000"/>
          <w:lang w:val="en-GB" w:eastAsia="en-GB"/>
        </w:rPr>
        <w:t>sites which do not involve major development and have planning permission, and all sites with detailed planning permission, should be considered deliverable until permission expires, unless there is clear evidence that homes will not be delivered within five years (for example because they are no longer viable, there is no longer a demand for the type of units or sites have long term phasing plans</w:t>
      </w:r>
      <w:r w:rsidRPr="00F323E4">
        <w:rPr>
          <w:rFonts w:eastAsia="Times New Roman"/>
          <w:i/>
          <w:iCs/>
          <w:color w:val="000000"/>
          <w:lang w:val="en-GB" w:eastAsia="en-GB"/>
        </w:rPr>
        <w:t>).</w:t>
      </w:r>
    </w:p>
    <w:p w14:paraId="3C0CD7A5" w14:textId="31EC1BD0" w:rsidR="00F42E49" w:rsidRPr="00F323E4" w:rsidRDefault="00F42E49" w:rsidP="002E6000">
      <w:pPr>
        <w:pStyle w:val="BodyText"/>
        <w:numPr>
          <w:ilvl w:val="0"/>
          <w:numId w:val="31"/>
        </w:numPr>
        <w:spacing w:line="480" w:lineRule="auto"/>
        <w:ind w:left="851" w:firstLine="0"/>
      </w:pPr>
      <w:r w:rsidRPr="00E27174">
        <w:rPr>
          <w:rFonts w:eastAsia="Times New Roman"/>
          <w:i/>
          <w:iCs/>
          <w:color w:val="000000"/>
          <w:lang w:val="en-GB" w:eastAsia="en-GB"/>
        </w:rPr>
        <w:t>Where a site has outline planning permission for major development, has been allocated in a development plan, has a grant of permission in principle, or is identified on a brownfield register, it should only be considered deliverable where there is clear evidence that housing completions will begin on site within five years</w:t>
      </w:r>
      <w:r w:rsidRPr="00F323E4">
        <w:rPr>
          <w:rFonts w:eastAsia="Times New Roman"/>
          <w:i/>
          <w:iCs/>
          <w:color w:val="000000"/>
          <w:lang w:val="en-GB" w:eastAsia="en-GB"/>
        </w:rPr>
        <w:t>.’</w:t>
      </w:r>
    </w:p>
    <w:p w14:paraId="5D81C20E" w14:textId="77777777" w:rsidR="00F42E49" w:rsidRPr="00E27174" w:rsidRDefault="00F42E49" w:rsidP="002E6000">
      <w:pPr>
        <w:widowControl/>
        <w:autoSpaceDE/>
        <w:autoSpaceDN/>
        <w:spacing w:line="480" w:lineRule="auto"/>
        <w:textAlignment w:val="baseline"/>
        <w:rPr>
          <w:rFonts w:eastAsia="Times New Roman"/>
          <w:b/>
          <w:bCs/>
          <w:color w:val="000000"/>
          <w:sz w:val="24"/>
          <w:szCs w:val="24"/>
          <w:lang w:val="en-GB" w:eastAsia="en-GB"/>
        </w:rPr>
      </w:pPr>
      <w:r w:rsidRPr="00E27174">
        <w:rPr>
          <w:rFonts w:eastAsia="Times New Roman"/>
          <w:b/>
          <w:bCs/>
          <w:color w:val="000000"/>
          <w:sz w:val="24"/>
          <w:szCs w:val="24"/>
          <w:lang w:val="en-GB" w:eastAsia="en-GB"/>
        </w:rPr>
        <w:t>Planning Practice Guidance (PPG) – Housing supply and delivery</w:t>
      </w:r>
    </w:p>
    <w:p w14:paraId="1D44956F" w14:textId="54C0E4BF" w:rsidR="00E27174" w:rsidRPr="00F323E4" w:rsidRDefault="00F42E49" w:rsidP="002E6000">
      <w:pPr>
        <w:pStyle w:val="BodyText"/>
        <w:spacing w:line="480" w:lineRule="auto"/>
        <w:ind w:hanging="820"/>
        <w:rPr>
          <w:lang w:val="en-GB" w:eastAsia="en-GB"/>
        </w:rPr>
      </w:pPr>
      <w:r w:rsidRPr="00F323E4">
        <w:rPr>
          <w:lang w:val="en-GB" w:eastAsia="en-GB"/>
        </w:rPr>
        <w:t>2.6</w:t>
      </w:r>
      <w:r w:rsidRPr="00F323E4">
        <w:rPr>
          <w:lang w:val="en-GB" w:eastAsia="en-GB"/>
        </w:rPr>
        <w:tab/>
        <w:t>The PPG was published on 22 July 2019.  It contains further guidance on how a 5 year housing land supply should be calculated and how it can be demonstrated with respect to the definition of deliverable contained in the NPPF.</w:t>
      </w:r>
    </w:p>
    <w:p w14:paraId="071462F5" w14:textId="0A461C64" w:rsidR="00F42E49" w:rsidRPr="00F323E4" w:rsidRDefault="00F42E49" w:rsidP="002E6000">
      <w:pPr>
        <w:pStyle w:val="BodyText"/>
        <w:spacing w:line="480" w:lineRule="auto"/>
        <w:ind w:hanging="820"/>
        <w:rPr>
          <w:lang w:val="en-GB" w:eastAsia="en-GB"/>
        </w:rPr>
      </w:pPr>
      <w:r w:rsidRPr="00F323E4">
        <w:rPr>
          <w:lang w:val="en-GB" w:eastAsia="en-GB"/>
        </w:rPr>
        <w:t>2.7</w:t>
      </w:r>
      <w:r w:rsidRPr="00F323E4">
        <w:rPr>
          <w:lang w:val="en-GB" w:eastAsia="en-GB"/>
        </w:rPr>
        <w:tab/>
        <w:t xml:space="preserve">Paragraph 007 sets out that for small sites with planning permission, and large sites with full planning permission, the presumption is that those sites </w:t>
      </w:r>
      <w:r w:rsidRPr="00F323E4">
        <w:rPr>
          <w:lang w:val="en-GB" w:eastAsia="en-GB"/>
        </w:rPr>
        <w:lastRenderedPageBreak/>
        <w:t>will be included in the 5-year supply, unless there is evidence to the contrary.  This may be where they are no longer viable, there is no longer demand for the type of units or sites have long term phasing plans.</w:t>
      </w:r>
    </w:p>
    <w:p w14:paraId="3EBBE8D7" w14:textId="2F184F2E" w:rsidR="00F42E49" w:rsidRPr="00F323E4" w:rsidRDefault="00F42E49" w:rsidP="002E6000">
      <w:pPr>
        <w:pStyle w:val="BodyText"/>
        <w:spacing w:line="480" w:lineRule="auto"/>
        <w:ind w:hanging="820"/>
        <w:rPr>
          <w:lang w:val="en-GB" w:eastAsia="en-GB"/>
        </w:rPr>
      </w:pPr>
      <w:r w:rsidRPr="00F323E4">
        <w:rPr>
          <w:lang w:val="en-GB" w:eastAsia="en-GB"/>
        </w:rPr>
        <w:t>2.8</w:t>
      </w:r>
      <w:r w:rsidRPr="00F323E4">
        <w:rPr>
          <w:lang w:val="en-GB" w:eastAsia="en-GB"/>
        </w:rPr>
        <w:tab/>
        <w:t xml:space="preserve">For sites with outline planning permission for major development, that have been allocated in the development plan, have permission in principle, or are on the brownfield register, the burden of proof is </w:t>
      </w:r>
      <w:proofErr w:type="gramStart"/>
      <w:r w:rsidRPr="00F323E4">
        <w:rPr>
          <w:lang w:val="en-GB" w:eastAsia="en-GB"/>
        </w:rPr>
        <w:t>different</w:t>
      </w:r>
      <w:proofErr w:type="gramEnd"/>
      <w:r w:rsidRPr="00F323E4">
        <w:rPr>
          <w:lang w:val="en-GB" w:eastAsia="en-GB"/>
        </w:rPr>
        <w:t xml:space="preserve"> and the onus is on local planning authorities to demonstrate that there is clear, specific evidence that housing completions will begin on site within five years such as:</w:t>
      </w:r>
    </w:p>
    <w:p w14:paraId="2AC04C89" w14:textId="77777777" w:rsidR="00E27174" w:rsidRPr="00F323E4" w:rsidRDefault="00E27174" w:rsidP="002E6000">
      <w:pPr>
        <w:pStyle w:val="BodyText"/>
        <w:numPr>
          <w:ilvl w:val="0"/>
          <w:numId w:val="32"/>
        </w:numPr>
        <w:spacing w:line="480" w:lineRule="auto"/>
        <w:ind w:left="851" w:firstLine="0"/>
        <w:rPr>
          <w:i/>
          <w:iCs/>
          <w:lang w:val="en-GB" w:eastAsia="en-GB"/>
        </w:rPr>
      </w:pPr>
      <w:r w:rsidRPr="00F323E4">
        <w:rPr>
          <w:i/>
          <w:iCs/>
          <w:lang w:val="en-GB" w:eastAsia="en-GB"/>
        </w:rPr>
        <w:t xml:space="preserve">current planning status – for example, on larger scale sites with outline or hybrid permission how much progress has been made towards approving reserved matters, or whether these link to a planning performance agreement that sets out the timescale for approval of reserved matters applications and discharge of </w:t>
      </w:r>
      <w:proofErr w:type="gramStart"/>
      <w:r w:rsidRPr="00F323E4">
        <w:rPr>
          <w:i/>
          <w:iCs/>
          <w:lang w:val="en-GB" w:eastAsia="en-GB"/>
        </w:rPr>
        <w:t>conditions;</w:t>
      </w:r>
      <w:proofErr w:type="gramEnd"/>
    </w:p>
    <w:p w14:paraId="2E44E4E2" w14:textId="77777777" w:rsidR="00E27174" w:rsidRPr="00F323E4" w:rsidRDefault="00E27174" w:rsidP="002E6000">
      <w:pPr>
        <w:pStyle w:val="BodyText"/>
        <w:numPr>
          <w:ilvl w:val="0"/>
          <w:numId w:val="32"/>
        </w:numPr>
        <w:spacing w:line="480" w:lineRule="auto"/>
        <w:ind w:left="851" w:firstLine="0"/>
        <w:rPr>
          <w:i/>
          <w:iCs/>
          <w:lang w:val="en-GB" w:eastAsia="en-GB"/>
        </w:rPr>
      </w:pPr>
      <w:r w:rsidRPr="00F323E4">
        <w:rPr>
          <w:i/>
          <w:iCs/>
          <w:lang w:val="en-GB" w:eastAsia="en-GB"/>
        </w:rPr>
        <w:t xml:space="preserve">firm progress being made towards the submission of an application – for example, a written agreement between the local planning authority and the site developer(s) which confirms the developers’ delivery intentions and anticipated start and build-out </w:t>
      </w:r>
      <w:proofErr w:type="gramStart"/>
      <w:r w:rsidRPr="00F323E4">
        <w:rPr>
          <w:i/>
          <w:iCs/>
          <w:lang w:val="en-GB" w:eastAsia="en-GB"/>
        </w:rPr>
        <w:t>rates;</w:t>
      </w:r>
      <w:proofErr w:type="gramEnd"/>
    </w:p>
    <w:p w14:paraId="240D8606" w14:textId="77777777" w:rsidR="00E27174" w:rsidRPr="00F323E4" w:rsidRDefault="00E27174" w:rsidP="002E6000">
      <w:pPr>
        <w:pStyle w:val="BodyText"/>
        <w:numPr>
          <w:ilvl w:val="0"/>
          <w:numId w:val="32"/>
        </w:numPr>
        <w:spacing w:line="480" w:lineRule="auto"/>
        <w:ind w:left="851" w:firstLine="0"/>
        <w:rPr>
          <w:i/>
          <w:iCs/>
          <w:lang w:val="en-GB" w:eastAsia="en-GB"/>
        </w:rPr>
      </w:pPr>
      <w:r w:rsidRPr="00F323E4">
        <w:rPr>
          <w:i/>
          <w:iCs/>
          <w:lang w:val="en-GB" w:eastAsia="en-GB"/>
        </w:rPr>
        <w:t>firm progress with site assessment work; or</w:t>
      </w:r>
    </w:p>
    <w:p w14:paraId="35DB5871" w14:textId="77777777" w:rsidR="00E27174" w:rsidRPr="00F323E4" w:rsidRDefault="00E27174" w:rsidP="002E6000">
      <w:pPr>
        <w:pStyle w:val="BodyText"/>
        <w:numPr>
          <w:ilvl w:val="0"/>
          <w:numId w:val="32"/>
        </w:numPr>
        <w:spacing w:line="480" w:lineRule="auto"/>
        <w:ind w:left="851" w:firstLine="0"/>
        <w:rPr>
          <w:i/>
          <w:iCs/>
          <w:lang w:val="en-GB" w:eastAsia="en-GB"/>
        </w:rPr>
      </w:pPr>
      <w:r w:rsidRPr="00F323E4">
        <w:rPr>
          <w:i/>
          <w:iCs/>
          <w:lang w:val="en-GB" w:eastAsia="en-GB"/>
        </w:rPr>
        <w:t>clear relevant information about site viability, ownership constraints or infrastructure provision, such as successful participation in bids for large-scale infrastructure funding or other similar projects.</w:t>
      </w:r>
    </w:p>
    <w:p w14:paraId="3EDB7F4A" w14:textId="06FDE2A1" w:rsidR="00E27174" w:rsidRPr="00E27174" w:rsidRDefault="00E27174" w:rsidP="002E6000">
      <w:pPr>
        <w:widowControl/>
        <w:autoSpaceDE/>
        <w:autoSpaceDN/>
        <w:spacing w:line="480" w:lineRule="auto"/>
        <w:rPr>
          <w:rFonts w:eastAsia="Times New Roman"/>
          <w:sz w:val="24"/>
          <w:szCs w:val="24"/>
          <w:lang w:val="en-GB" w:eastAsia="en-GB"/>
        </w:rPr>
      </w:pPr>
      <w:r w:rsidRPr="00E27174">
        <w:rPr>
          <w:rFonts w:eastAsia="Times New Roman"/>
          <w:sz w:val="24"/>
          <w:szCs w:val="24"/>
          <w:lang w:val="en-GB" w:eastAsia="en-GB"/>
        </w:rPr>
        <w:br/>
      </w:r>
      <w:r w:rsidRPr="00E27174">
        <w:rPr>
          <w:rFonts w:eastAsia="Times New Roman"/>
          <w:b/>
          <w:bCs/>
          <w:color w:val="000000"/>
          <w:sz w:val="24"/>
          <w:szCs w:val="24"/>
          <w:lang w:val="en-GB" w:eastAsia="en-GB"/>
        </w:rPr>
        <w:t>Planning Practice Guidance (PPG) – Housing and economic needs assessment </w:t>
      </w:r>
    </w:p>
    <w:p w14:paraId="05D4801D" w14:textId="77777777" w:rsidR="00F42E49" w:rsidRPr="00F323E4" w:rsidRDefault="00E27174" w:rsidP="002E6000">
      <w:pPr>
        <w:pStyle w:val="BodyText"/>
        <w:numPr>
          <w:ilvl w:val="1"/>
          <w:numId w:val="34"/>
        </w:numPr>
        <w:spacing w:line="480" w:lineRule="auto"/>
        <w:ind w:left="851" w:hanging="851"/>
        <w:rPr>
          <w:b/>
          <w:bCs/>
          <w:lang w:val="en-GB" w:eastAsia="en-GB"/>
        </w:rPr>
      </w:pPr>
      <w:r w:rsidRPr="00F323E4">
        <w:rPr>
          <w:lang w:val="en-GB" w:eastAsia="en-GB"/>
        </w:rPr>
        <w:t xml:space="preserve">The PPG was last updated on 22 July 2019.  It contains the standard </w:t>
      </w:r>
      <w:r w:rsidRPr="00F323E4">
        <w:rPr>
          <w:lang w:val="en-GB" w:eastAsia="en-GB"/>
        </w:rPr>
        <w:lastRenderedPageBreak/>
        <w:t>method for assessing local housing needs, setting out the formula used to identify a minimum annual housing need figure.</w:t>
      </w:r>
    </w:p>
    <w:p w14:paraId="27EAD983" w14:textId="71A36601" w:rsidR="00E27174" w:rsidRPr="00E27174" w:rsidRDefault="00E27174" w:rsidP="002E6000">
      <w:pPr>
        <w:pStyle w:val="BodyText"/>
        <w:numPr>
          <w:ilvl w:val="1"/>
          <w:numId w:val="34"/>
        </w:numPr>
        <w:spacing w:line="480" w:lineRule="auto"/>
        <w:ind w:left="851" w:hanging="851"/>
        <w:rPr>
          <w:b/>
          <w:bCs/>
          <w:lang w:val="en-GB" w:eastAsia="en-GB"/>
        </w:rPr>
      </w:pPr>
      <w:r w:rsidRPr="00E27174">
        <w:rPr>
          <w:rFonts w:eastAsia="Times New Roman"/>
          <w:color w:val="000000"/>
          <w:lang w:val="en-GB" w:eastAsia="en-GB"/>
        </w:rPr>
        <w:t>Paragraph 004 provides the steps used to calculate the local housing need figure as well as the specific data inputs to be used in terms of demographic baseline and adjustment for affordability.  </w:t>
      </w:r>
    </w:p>
    <w:p w14:paraId="64E5AA40" w14:textId="6A4A7DA8" w:rsidR="00E27174" w:rsidRPr="00E27174" w:rsidRDefault="00E27174" w:rsidP="002E6000">
      <w:pPr>
        <w:widowControl/>
        <w:autoSpaceDE/>
        <w:autoSpaceDN/>
        <w:spacing w:line="480" w:lineRule="auto"/>
        <w:rPr>
          <w:rFonts w:eastAsia="Times New Roman"/>
          <w:sz w:val="24"/>
          <w:szCs w:val="24"/>
          <w:lang w:val="en-GB" w:eastAsia="en-GB"/>
        </w:rPr>
      </w:pPr>
      <w:r w:rsidRPr="00E27174">
        <w:rPr>
          <w:rFonts w:eastAsia="Times New Roman"/>
          <w:sz w:val="24"/>
          <w:szCs w:val="24"/>
          <w:lang w:val="en-GB" w:eastAsia="en-GB"/>
        </w:rPr>
        <w:br/>
      </w:r>
      <w:r w:rsidRPr="00E27174">
        <w:rPr>
          <w:rFonts w:eastAsia="Times New Roman"/>
          <w:b/>
          <w:bCs/>
          <w:color w:val="000000"/>
          <w:sz w:val="24"/>
          <w:szCs w:val="24"/>
          <w:lang w:val="en-GB" w:eastAsia="en-GB"/>
        </w:rPr>
        <w:t>Development Plan Context </w:t>
      </w:r>
    </w:p>
    <w:p w14:paraId="59C13509" w14:textId="6B14F12D" w:rsidR="00E27174" w:rsidRPr="00F323E4" w:rsidRDefault="00F42E49" w:rsidP="002E6000">
      <w:pPr>
        <w:pStyle w:val="BodyText"/>
        <w:spacing w:line="480" w:lineRule="auto"/>
        <w:ind w:left="851" w:hanging="851"/>
        <w:rPr>
          <w:b/>
          <w:bCs/>
          <w:lang w:val="en-GB" w:eastAsia="en-GB"/>
        </w:rPr>
      </w:pPr>
      <w:r w:rsidRPr="00F323E4">
        <w:rPr>
          <w:lang w:val="en-GB" w:eastAsia="en-GB"/>
        </w:rPr>
        <w:t>2.11</w:t>
      </w:r>
      <w:r w:rsidRPr="00F323E4">
        <w:rPr>
          <w:lang w:val="en-GB" w:eastAsia="en-GB"/>
        </w:rPr>
        <w:tab/>
      </w:r>
      <w:r w:rsidR="00D12655">
        <w:rPr>
          <w:lang w:val="en-GB" w:eastAsia="en-GB"/>
        </w:rPr>
        <w:t>Sheffield’s</w:t>
      </w:r>
      <w:r w:rsidR="00E27174" w:rsidRPr="00F323E4">
        <w:rPr>
          <w:lang w:val="en-GB" w:eastAsia="en-GB"/>
        </w:rPr>
        <w:t xml:space="preserve"> Core Strategy was adopted in 2009.  Policy CS22 sets out the scale of the requirement for new housing over the period 2004/05 to 2025/26.  Given that the housing requirement in the adopted strategic policies is more than five years old then under the NPPF paragraph 73 the housing requirement for the purposes of the five year supply derives from </w:t>
      </w:r>
      <w:proofErr w:type="gramStart"/>
      <w:r w:rsidR="00E27174" w:rsidRPr="00F323E4">
        <w:rPr>
          <w:lang w:val="en-GB" w:eastAsia="en-GB"/>
        </w:rPr>
        <w:t>the  local</w:t>
      </w:r>
      <w:proofErr w:type="gramEnd"/>
      <w:r w:rsidR="00E27174" w:rsidRPr="00F323E4">
        <w:rPr>
          <w:lang w:val="en-GB" w:eastAsia="en-GB"/>
        </w:rPr>
        <w:t xml:space="preserve"> housing need figure calculated using the Government’s standard method as set out in Housing and Economic Needs Assessment PPG (last updated 22 July 2019).  </w:t>
      </w:r>
    </w:p>
    <w:p w14:paraId="358D6617" w14:textId="19F17775" w:rsidR="00E27174" w:rsidRPr="00E27174" w:rsidRDefault="00E27174" w:rsidP="002E6000">
      <w:pPr>
        <w:widowControl/>
        <w:autoSpaceDE/>
        <w:autoSpaceDN/>
        <w:spacing w:line="480" w:lineRule="auto"/>
        <w:rPr>
          <w:rFonts w:eastAsia="Times New Roman"/>
          <w:b/>
          <w:bCs/>
          <w:color w:val="000000"/>
          <w:sz w:val="24"/>
          <w:szCs w:val="24"/>
          <w:lang w:val="en-GB" w:eastAsia="en-GB"/>
        </w:rPr>
      </w:pPr>
      <w:r w:rsidRPr="00E27174">
        <w:rPr>
          <w:rFonts w:eastAsia="Times New Roman"/>
          <w:sz w:val="24"/>
          <w:szCs w:val="24"/>
          <w:lang w:val="en-GB" w:eastAsia="en-GB"/>
        </w:rPr>
        <w:br/>
      </w:r>
      <w:r w:rsidRPr="00E27174">
        <w:rPr>
          <w:rFonts w:eastAsia="Times New Roman"/>
          <w:b/>
          <w:bCs/>
          <w:color w:val="000000"/>
          <w:sz w:val="24"/>
          <w:szCs w:val="24"/>
          <w:lang w:val="en-GB" w:eastAsia="en-GB"/>
        </w:rPr>
        <w:t>Other documents referred to </w:t>
      </w:r>
    </w:p>
    <w:p w14:paraId="7E94029F" w14:textId="7D0C724E" w:rsidR="00D12655" w:rsidRPr="00F323E4" w:rsidRDefault="00D12655" w:rsidP="00D12655">
      <w:pPr>
        <w:pStyle w:val="ListParagraph"/>
        <w:widowControl/>
        <w:numPr>
          <w:ilvl w:val="1"/>
          <w:numId w:val="35"/>
        </w:numPr>
        <w:autoSpaceDE/>
        <w:autoSpaceDN/>
        <w:spacing w:line="480" w:lineRule="auto"/>
        <w:ind w:left="851" w:hanging="851"/>
        <w:textAlignment w:val="baseline"/>
        <w:rPr>
          <w:rFonts w:eastAsia="Times New Roman"/>
          <w:color w:val="000000"/>
          <w:sz w:val="24"/>
          <w:szCs w:val="24"/>
          <w:lang w:val="en-GB" w:eastAsia="en-GB"/>
        </w:rPr>
        <w:sectPr w:rsidR="00D12655" w:rsidRPr="00F323E4" w:rsidSect="002E6000">
          <w:pgSz w:w="11910" w:h="16840"/>
          <w:pgMar w:top="1340" w:right="1680" w:bottom="1276" w:left="1340" w:header="0" w:footer="561" w:gutter="0"/>
          <w:cols w:space="720"/>
        </w:sectPr>
      </w:pPr>
      <w:r w:rsidRPr="00F323E4">
        <w:rPr>
          <w:rFonts w:eastAsia="Times New Roman"/>
          <w:color w:val="000000"/>
          <w:sz w:val="24"/>
          <w:szCs w:val="24"/>
          <w:lang w:val="en-GB" w:eastAsia="en-GB"/>
        </w:rPr>
        <w:t xml:space="preserve">The Council’s housing land supply position as </w:t>
      </w:r>
      <w:proofErr w:type="gramStart"/>
      <w:r w:rsidRPr="00F323E4">
        <w:rPr>
          <w:rFonts w:eastAsia="Times New Roman"/>
          <w:color w:val="000000"/>
          <w:sz w:val="24"/>
          <w:szCs w:val="24"/>
          <w:lang w:val="en-GB" w:eastAsia="en-GB"/>
        </w:rPr>
        <w:t>at</w:t>
      </w:r>
      <w:proofErr w:type="gramEnd"/>
      <w:r w:rsidRPr="00F323E4">
        <w:rPr>
          <w:rFonts w:eastAsia="Times New Roman"/>
          <w:color w:val="000000"/>
          <w:sz w:val="24"/>
          <w:szCs w:val="24"/>
          <w:lang w:val="en-GB" w:eastAsia="en-GB"/>
        </w:rPr>
        <w:t xml:space="preserve"> 1 April 2019 is set out in the 5 Year Housing Land Supply Monitoring Report, published May 2020.  This is attached as Appendix 1. </w:t>
      </w:r>
    </w:p>
    <w:p w14:paraId="4266D8B2" w14:textId="7041ADDD" w:rsidR="00D12655" w:rsidRPr="00D12655" w:rsidRDefault="00D12655" w:rsidP="002E6000">
      <w:pPr>
        <w:pStyle w:val="ListParagraph"/>
        <w:widowControl/>
        <w:numPr>
          <w:ilvl w:val="1"/>
          <w:numId w:val="35"/>
        </w:numPr>
        <w:autoSpaceDE/>
        <w:autoSpaceDN/>
        <w:spacing w:line="480" w:lineRule="auto"/>
        <w:ind w:left="851" w:hanging="851"/>
        <w:textAlignment w:val="baseline"/>
        <w:rPr>
          <w:rFonts w:eastAsia="Times New Roman"/>
          <w:b/>
          <w:bCs/>
          <w:color w:val="000000"/>
          <w:sz w:val="24"/>
          <w:szCs w:val="24"/>
          <w:lang w:val="en-GB" w:eastAsia="en-GB"/>
        </w:rPr>
      </w:pPr>
      <w:r>
        <w:rPr>
          <w:rFonts w:eastAsia="Times New Roman"/>
          <w:color w:val="000000"/>
          <w:sz w:val="24"/>
          <w:szCs w:val="24"/>
          <w:lang w:val="en-GB" w:eastAsia="en-GB"/>
        </w:rPr>
        <w:lastRenderedPageBreak/>
        <w:t>The Council’s current position with respect to 5 year housing land supply, as at 1. April 2020</w:t>
      </w:r>
      <w:r w:rsidRPr="00D12655">
        <w:rPr>
          <w:rFonts w:eastAsia="Times New Roman"/>
          <w:color w:val="000000"/>
          <w:sz w:val="24"/>
          <w:szCs w:val="24"/>
          <w:lang w:val="en-GB" w:eastAsia="en-GB"/>
        </w:rPr>
        <w:t xml:space="preserve"> </w:t>
      </w:r>
      <w:r w:rsidRPr="00F323E4">
        <w:rPr>
          <w:rFonts w:eastAsia="Times New Roman"/>
          <w:color w:val="000000"/>
          <w:sz w:val="24"/>
          <w:szCs w:val="24"/>
          <w:lang w:val="en-GB" w:eastAsia="en-GB"/>
        </w:rPr>
        <w:t xml:space="preserve">is set out in the 5 Year Housing Land Supply Monitoring Report (‘the Monitoring Report’), </w:t>
      </w:r>
      <w:r>
        <w:rPr>
          <w:rFonts w:eastAsia="Times New Roman"/>
          <w:color w:val="000000"/>
          <w:sz w:val="24"/>
          <w:szCs w:val="24"/>
          <w:lang w:val="en-GB" w:eastAsia="en-GB"/>
        </w:rPr>
        <w:t>December</w:t>
      </w:r>
      <w:r w:rsidRPr="00F323E4">
        <w:rPr>
          <w:rFonts w:eastAsia="Times New Roman"/>
          <w:color w:val="000000"/>
          <w:sz w:val="24"/>
          <w:szCs w:val="24"/>
          <w:lang w:val="en-GB" w:eastAsia="en-GB"/>
        </w:rPr>
        <w:t xml:space="preserve"> 2020.  This is attached </w:t>
      </w:r>
      <w:r>
        <w:rPr>
          <w:rFonts w:eastAsia="Times New Roman"/>
          <w:color w:val="000000"/>
          <w:sz w:val="24"/>
          <w:szCs w:val="24"/>
          <w:lang w:val="en-GB" w:eastAsia="en-GB"/>
        </w:rPr>
        <w:t xml:space="preserve">with its associated appendixes </w:t>
      </w:r>
      <w:r w:rsidRPr="00F323E4">
        <w:rPr>
          <w:rFonts w:eastAsia="Times New Roman"/>
          <w:color w:val="000000"/>
          <w:sz w:val="24"/>
          <w:szCs w:val="24"/>
          <w:lang w:val="en-GB" w:eastAsia="en-GB"/>
        </w:rPr>
        <w:t xml:space="preserve">as Appendix </w:t>
      </w:r>
      <w:r>
        <w:rPr>
          <w:rFonts w:eastAsia="Times New Roman"/>
          <w:color w:val="000000"/>
          <w:sz w:val="24"/>
          <w:szCs w:val="24"/>
          <w:lang w:val="en-GB" w:eastAsia="en-GB"/>
        </w:rPr>
        <w:t>2</w:t>
      </w:r>
      <w:r w:rsidRPr="00F323E4">
        <w:rPr>
          <w:rFonts w:eastAsia="Times New Roman"/>
          <w:color w:val="000000"/>
          <w:sz w:val="24"/>
          <w:szCs w:val="24"/>
          <w:lang w:val="en-GB" w:eastAsia="en-GB"/>
        </w:rPr>
        <w:t>. </w:t>
      </w:r>
    </w:p>
    <w:p w14:paraId="42110C5A" w14:textId="784198A6" w:rsidR="00D12655" w:rsidRDefault="00E27174" w:rsidP="002E6000">
      <w:pPr>
        <w:pStyle w:val="ListParagraph"/>
        <w:widowControl/>
        <w:numPr>
          <w:ilvl w:val="1"/>
          <w:numId w:val="35"/>
        </w:numPr>
        <w:autoSpaceDE/>
        <w:autoSpaceDN/>
        <w:spacing w:line="480" w:lineRule="auto"/>
        <w:ind w:left="851" w:hanging="851"/>
        <w:textAlignment w:val="baseline"/>
        <w:rPr>
          <w:rFonts w:eastAsia="Times New Roman"/>
          <w:color w:val="000000" w:themeColor="text1"/>
          <w:sz w:val="24"/>
          <w:szCs w:val="24"/>
          <w:lang w:val="en-GB" w:eastAsia="en-GB"/>
        </w:rPr>
        <w:sectPr w:rsidR="00D12655" w:rsidSect="002E6000">
          <w:pgSz w:w="11910" w:h="16840"/>
          <w:pgMar w:top="1340" w:right="1680" w:bottom="1276" w:left="1340" w:header="0" w:footer="561" w:gutter="0"/>
          <w:cols w:space="720"/>
        </w:sectPr>
      </w:pPr>
      <w:r w:rsidRPr="00F323E4">
        <w:rPr>
          <w:rFonts w:eastAsia="Times New Roman"/>
          <w:color w:val="000000"/>
          <w:sz w:val="24"/>
          <w:szCs w:val="24"/>
          <w:lang w:val="en-GB" w:eastAsia="en-GB"/>
        </w:rPr>
        <w:t>The Housing and Employment Land Availability Assessment (HELAA)</w:t>
      </w:r>
      <w:r w:rsidR="00D12655">
        <w:rPr>
          <w:rFonts w:eastAsia="Times New Roman"/>
          <w:color w:val="000000"/>
          <w:sz w:val="24"/>
          <w:szCs w:val="24"/>
          <w:lang w:val="en-GB" w:eastAsia="en-GB"/>
        </w:rPr>
        <w:t xml:space="preserve"> (Appendix SCC3)</w:t>
      </w:r>
      <w:r w:rsidRPr="00F323E4">
        <w:rPr>
          <w:rFonts w:eastAsia="Times New Roman"/>
          <w:color w:val="000000"/>
          <w:sz w:val="24"/>
          <w:szCs w:val="24"/>
          <w:lang w:val="en-GB" w:eastAsia="en-GB"/>
        </w:rPr>
        <w:t xml:space="preserve"> was published in September 2020 and was not available for use at the point the application was determined.  It does not include an assessment of the 5 year Housing Land Supply.  </w:t>
      </w:r>
      <w:r w:rsidRPr="00DB2D49">
        <w:rPr>
          <w:rFonts w:eastAsia="Times New Roman"/>
          <w:color w:val="000000" w:themeColor="text1"/>
          <w:sz w:val="24"/>
          <w:szCs w:val="24"/>
          <w:lang w:val="en-GB" w:eastAsia="en-GB"/>
        </w:rPr>
        <w:t>The HELAA</w:t>
      </w:r>
      <w:r w:rsidR="00D12655">
        <w:rPr>
          <w:rFonts w:eastAsia="Times New Roman"/>
          <w:color w:val="000000" w:themeColor="text1"/>
          <w:sz w:val="24"/>
          <w:szCs w:val="24"/>
          <w:lang w:val="en-GB" w:eastAsia="en-GB"/>
        </w:rPr>
        <w:t xml:space="preserve"> Site Schedule</w:t>
      </w:r>
      <w:r w:rsidRPr="00DB2D49">
        <w:rPr>
          <w:rFonts w:eastAsia="Times New Roman"/>
          <w:color w:val="000000" w:themeColor="text1"/>
          <w:sz w:val="24"/>
          <w:szCs w:val="24"/>
          <w:lang w:val="en-GB" w:eastAsia="en-GB"/>
        </w:rPr>
        <w:t xml:space="preserve"> includes all the sites that have been assessed for inclusion within the supply, which have been drawn from </w:t>
      </w:r>
      <w:r w:rsidR="002E6000" w:rsidRPr="00DB2D49">
        <w:rPr>
          <w:rFonts w:eastAsia="Times New Roman"/>
          <w:color w:val="000000" w:themeColor="text1"/>
          <w:sz w:val="24"/>
          <w:szCs w:val="24"/>
          <w:lang w:val="en-GB" w:eastAsia="en-GB"/>
        </w:rPr>
        <w:t>its</w:t>
      </w:r>
      <w:r w:rsidRPr="00DB2D49">
        <w:rPr>
          <w:rFonts w:eastAsia="Times New Roman"/>
          <w:color w:val="000000" w:themeColor="text1"/>
          <w:sz w:val="24"/>
          <w:szCs w:val="24"/>
          <w:lang w:val="en-GB" w:eastAsia="en-GB"/>
        </w:rPr>
        <w:t xml:space="preserve"> associated database.</w:t>
      </w:r>
      <w:r w:rsidR="00DB2D49" w:rsidRPr="00DB2D49">
        <w:rPr>
          <w:rFonts w:eastAsia="Times New Roman"/>
          <w:color w:val="000000" w:themeColor="text1"/>
          <w:sz w:val="24"/>
          <w:szCs w:val="24"/>
          <w:lang w:val="en-GB" w:eastAsia="en-GB"/>
        </w:rPr>
        <w:t xml:space="preserve">  </w:t>
      </w:r>
      <w:r w:rsidR="00D12655">
        <w:rPr>
          <w:rFonts w:eastAsia="Times New Roman"/>
          <w:color w:val="000000" w:themeColor="text1"/>
          <w:sz w:val="24"/>
          <w:szCs w:val="24"/>
          <w:lang w:val="en-GB" w:eastAsia="en-GB"/>
        </w:rPr>
        <w:t>The HELAA</w:t>
      </w:r>
      <w:r w:rsidR="00DB2D49" w:rsidRPr="00DB2D49">
        <w:rPr>
          <w:rFonts w:eastAsia="Times New Roman"/>
          <w:color w:val="000000" w:themeColor="text1"/>
          <w:sz w:val="24"/>
          <w:szCs w:val="24"/>
          <w:lang w:val="en-GB" w:eastAsia="en-GB"/>
        </w:rPr>
        <w:t xml:space="preserve"> also sets out the methodology for assessing windfall capacity.</w:t>
      </w:r>
    </w:p>
    <w:p w14:paraId="3CAFDEF3" w14:textId="37C82351" w:rsidR="00E27174" w:rsidRPr="00F323E4" w:rsidRDefault="002E6000" w:rsidP="002E6000">
      <w:pPr>
        <w:pStyle w:val="Heading1"/>
        <w:ind w:left="0"/>
        <w:jc w:val="left"/>
      </w:pPr>
      <w:r w:rsidRPr="00F323E4">
        <w:lastRenderedPageBreak/>
        <w:t>3.0 Sheffield City Council’s 5 Year Housing Land Supply – Methodology</w:t>
      </w:r>
    </w:p>
    <w:p w14:paraId="2559FB3D" w14:textId="13FFB5C4" w:rsidR="002E6000" w:rsidRPr="00F323E4" w:rsidRDefault="002E6000" w:rsidP="002E6000">
      <w:pPr>
        <w:pStyle w:val="BodyText"/>
      </w:pPr>
    </w:p>
    <w:p w14:paraId="53ECE3CA" w14:textId="2179D54C" w:rsidR="002E6000" w:rsidRPr="00F323E4" w:rsidRDefault="002E6000" w:rsidP="00F323E4">
      <w:pPr>
        <w:pStyle w:val="BodyText"/>
        <w:spacing w:line="480" w:lineRule="auto"/>
        <w:ind w:left="822" w:hanging="822"/>
        <w:rPr>
          <w:color w:val="000000"/>
        </w:rPr>
      </w:pPr>
      <w:r w:rsidRPr="00F323E4">
        <w:t>3.1</w:t>
      </w:r>
      <w:r w:rsidRPr="00F323E4">
        <w:tab/>
      </w:r>
      <w:r w:rsidRPr="00F323E4">
        <w:rPr>
          <w:color w:val="000000"/>
        </w:rPr>
        <w:t xml:space="preserve">The Council’s approach is to publish a 5-year Housing Land Supply Monitoring Report </w:t>
      </w:r>
      <w:r w:rsidR="0058646D">
        <w:rPr>
          <w:color w:val="000000"/>
        </w:rPr>
        <w:t xml:space="preserve">(the ‘Monitoring Report’) </w:t>
      </w:r>
      <w:r w:rsidRPr="00F323E4">
        <w:rPr>
          <w:color w:val="000000"/>
        </w:rPr>
        <w:t>to set out the assessment of the deliverable supply of land for housing in Sheffield</w:t>
      </w:r>
      <w:r w:rsidR="0058646D">
        <w:rPr>
          <w:color w:val="000000"/>
        </w:rPr>
        <w:t xml:space="preserve">.  This </w:t>
      </w:r>
      <w:r w:rsidRPr="00F323E4">
        <w:rPr>
          <w:color w:val="000000"/>
        </w:rPr>
        <w:t>meet</w:t>
      </w:r>
      <w:r w:rsidR="0058646D">
        <w:rPr>
          <w:color w:val="000000"/>
        </w:rPr>
        <w:t>s</w:t>
      </w:r>
      <w:r w:rsidRPr="00F323E4">
        <w:rPr>
          <w:color w:val="000000"/>
        </w:rPr>
        <w:t xml:space="preserve"> the requirements of paragraph 73 of the Framework to identify a supply of specific and deliverable sites sufficient to provide a minimum of five years’ worth of housing against the housing requirement.  The Monitoring Report is prepared in accordance with the Framework; </w:t>
      </w:r>
      <w:proofErr w:type="gramStart"/>
      <w:r w:rsidRPr="00F323E4">
        <w:rPr>
          <w:color w:val="000000"/>
        </w:rPr>
        <w:t>specifically</w:t>
      </w:r>
      <w:proofErr w:type="gramEnd"/>
      <w:r w:rsidRPr="00F323E4">
        <w:rPr>
          <w:color w:val="000000"/>
        </w:rPr>
        <w:t xml:space="preserve"> in relation to paragraph 73 which determines how the need should be quantified, and Annex 2 which defines ‘deliverable’. </w:t>
      </w:r>
    </w:p>
    <w:p w14:paraId="2902DB77" w14:textId="2521E31E" w:rsidR="002E6000" w:rsidRDefault="002E6000" w:rsidP="00F323E4">
      <w:pPr>
        <w:pStyle w:val="BodyText"/>
        <w:spacing w:line="480" w:lineRule="auto"/>
        <w:ind w:left="822" w:hanging="822"/>
        <w:rPr>
          <w:color w:val="000000"/>
        </w:rPr>
      </w:pPr>
      <w:r w:rsidRPr="00F323E4">
        <w:rPr>
          <w:color w:val="000000"/>
        </w:rPr>
        <w:t>3.2</w:t>
      </w:r>
      <w:r w:rsidRPr="00F323E4">
        <w:rPr>
          <w:color w:val="000000"/>
        </w:rPr>
        <w:tab/>
        <w:t xml:space="preserve">My role in the preparation of the Monitoring Report is to determine which sites should be considered for inclusion in the deliverable </w:t>
      </w:r>
      <w:proofErr w:type="gramStart"/>
      <w:r w:rsidRPr="00F323E4">
        <w:rPr>
          <w:color w:val="000000"/>
        </w:rPr>
        <w:t>supply, and</w:t>
      </w:r>
      <w:proofErr w:type="gramEnd"/>
      <w:r w:rsidRPr="00F323E4">
        <w:rPr>
          <w:color w:val="000000"/>
        </w:rPr>
        <w:t xml:space="preserve"> collate the different sources of evidence which are used to assess deliverability of the sites included within it.  The document has been prepared in accordance with the Framework and guidance contained in the NPPG.  </w:t>
      </w:r>
      <w:proofErr w:type="gramStart"/>
      <w:r w:rsidRPr="00F323E4">
        <w:rPr>
          <w:color w:val="000000"/>
        </w:rPr>
        <w:t>In particular</w:t>
      </w:r>
      <w:r w:rsidR="00DB2D49">
        <w:rPr>
          <w:color w:val="000000"/>
        </w:rPr>
        <w:t>,</w:t>
      </w:r>
      <w:r w:rsidRPr="00F323E4">
        <w:rPr>
          <w:color w:val="000000"/>
        </w:rPr>
        <w:t xml:space="preserve"> there</w:t>
      </w:r>
      <w:proofErr w:type="gramEnd"/>
      <w:r w:rsidRPr="00F323E4">
        <w:rPr>
          <w:color w:val="000000"/>
        </w:rPr>
        <w:t xml:space="preserve"> has been liaison with the development community in relation to the deliverability of individual sites. </w:t>
      </w:r>
    </w:p>
    <w:p w14:paraId="2012CD6B" w14:textId="77777777" w:rsidR="00DB2D49" w:rsidRPr="00F323E4" w:rsidRDefault="00DB2D49" w:rsidP="00DB2D49">
      <w:pPr>
        <w:pStyle w:val="BodyText"/>
        <w:spacing w:line="480" w:lineRule="auto"/>
        <w:rPr>
          <w:color w:val="000000"/>
        </w:rPr>
      </w:pPr>
    </w:p>
    <w:p w14:paraId="7CD73F55" w14:textId="4D7A7E44" w:rsidR="002E6000" w:rsidRPr="00F323E4" w:rsidRDefault="002E6000" w:rsidP="00F323E4">
      <w:pPr>
        <w:pStyle w:val="BodyText"/>
        <w:spacing w:line="480" w:lineRule="auto"/>
        <w:ind w:hanging="820"/>
        <w:rPr>
          <w:b/>
          <w:bCs/>
          <w:color w:val="000000"/>
        </w:rPr>
      </w:pPr>
      <w:r w:rsidRPr="00F323E4">
        <w:rPr>
          <w:b/>
          <w:bCs/>
          <w:color w:val="000000"/>
        </w:rPr>
        <w:t>Requirement</w:t>
      </w:r>
    </w:p>
    <w:p w14:paraId="05CB2F14" w14:textId="1E935A92"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3.3</w:t>
      </w:r>
      <w:r w:rsidRPr="00F323E4">
        <w:rPr>
          <w:rFonts w:ascii="Arial" w:hAnsi="Arial" w:cs="Arial"/>
          <w:color w:val="000000"/>
        </w:rPr>
        <w:tab/>
        <w:t xml:space="preserve">NPPF paragraph 73 specifies that, where strategic policies are more than five years old, local housing need should be used to inform the housing requirement.  This does not include strategic policies that have been reviewed and found not to require updating (footnote 37).  That is not the position here, and therefore the local housing need figure, calculated using </w:t>
      </w:r>
      <w:r w:rsidRPr="00F323E4">
        <w:rPr>
          <w:rFonts w:ascii="Arial" w:hAnsi="Arial" w:cs="Arial"/>
          <w:color w:val="000000"/>
        </w:rPr>
        <w:lastRenderedPageBreak/>
        <w:t xml:space="preserve">the standard method set out in national planning practice guidance, is used to determine the </w:t>
      </w:r>
      <w:r w:rsidR="00DB2D49">
        <w:rPr>
          <w:rFonts w:ascii="Arial" w:hAnsi="Arial" w:cs="Arial"/>
          <w:color w:val="000000"/>
        </w:rPr>
        <w:t>5</w:t>
      </w:r>
      <w:r w:rsidRPr="00F323E4">
        <w:rPr>
          <w:rFonts w:ascii="Arial" w:hAnsi="Arial" w:cs="Arial"/>
          <w:color w:val="000000"/>
        </w:rPr>
        <w:t xml:space="preserve"> year housing land requirement.</w:t>
      </w:r>
    </w:p>
    <w:p w14:paraId="496AE043" w14:textId="2C2DAE75"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3.4</w:t>
      </w:r>
      <w:r w:rsidRPr="00F323E4">
        <w:rPr>
          <w:rFonts w:ascii="Arial" w:hAnsi="Arial" w:cs="Arial"/>
          <w:color w:val="000000"/>
        </w:rPr>
        <w:tab/>
        <w:t>The Monitoring Report sets out the calculation that is used to determine the local housing need figure following the Government’s standard methodology in Planning Practice Guidance.  The figure for 2020 is 2,131 net additional homes per year.  This figure uses the 2014-based household projections as the demographic baseline, taking the annual average rate of household growth over the 10 year period 2020 to 2030.  It is then adjusted taking account of the affordability ratio for median house prices in relation to median earnings, as provided by the Office for National Statistics</w:t>
      </w:r>
      <w:r w:rsidR="0058646D">
        <w:rPr>
          <w:rFonts w:ascii="Arial" w:hAnsi="Arial" w:cs="Arial"/>
          <w:color w:val="000000"/>
        </w:rPr>
        <w:t xml:space="preserve"> in </w:t>
      </w:r>
      <w:r w:rsidRPr="00F323E4">
        <w:rPr>
          <w:rFonts w:ascii="Arial" w:hAnsi="Arial" w:cs="Arial"/>
          <w:color w:val="000000"/>
        </w:rPr>
        <w:t>March 2020.</w:t>
      </w:r>
    </w:p>
    <w:p w14:paraId="29A7DB7F" w14:textId="1BF90743"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3.5</w:t>
      </w:r>
      <w:r w:rsidRPr="00F323E4">
        <w:rPr>
          <w:rFonts w:ascii="Arial" w:hAnsi="Arial" w:cs="Arial"/>
          <w:color w:val="000000"/>
        </w:rPr>
        <w:tab/>
        <w:t>The most recent (2019) Housing Delivery Test results were published in February 2020; these showed Sheffield’s delivery was 112%.  This provides evidence that there is no significant under delivery in Sheffield and therefore the 5% buffer to ensure choice and competition applies as required by part (a) of NPPF paragraph 73.</w:t>
      </w:r>
    </w:p>
    <w:p w14:paraId="3B98613E" w14:textId="165E5BEA"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3.6</w:t>
      </w:r>
      <w:r w:rsidRPr="00F323E4">
        <w:rPr>
          <w:rFonts w:ascii="Arial" w:hAnsi="Arial" w:cs="Arial"/>
          <w:color w:val="000000"/>
        </w:rPr>
        <w:tab/>
        <w:t>Sheffield’s net housing requirement for the 5-year period 2020/21 to 2024/25 is therefore:</w:t>
      </w:r>
    </w:p>
    <w:p w14:paraId="3CF8DC2D" w14:textId="77777777" w:rsidR="00F323E4" w:rsidRPr="00F323E4" w:rsidRDefault="00F323E4" w:rsidP="002E6000">
      <w:pPr>
        <w:pStyle w:val="NormalWeb"/>
        <w:spacing w:before="0" w:beforeAutospacing="0" w:after="0" w:afterAutospacing="0"/>
        <w:ind w:left="851" w:hanging="851"/>
        <w:textAlignment w:val="baseline"/>
        <w:rPr>
          <w:rFonts w:ascii="Arial" w:hAnsi="Arial" w:cs="Arial"/>
          <w:color w:val="000000"/>
          <w:sz w:val="22"/>
          <w:szCs w:val="22"/>
        </w:rPr>
      </w:pPr>
    </w:p>
    <w:tbl>
      <w:tblPr>
        <w:tblW w:w="0" w:type="auto"/>
        <w:tblInd w:w="875" w:type="dxa"/>
        <w:tblCellMar>
          <w:top w:w="15" w:type="dxa"/>
          <w:left w:w="15" w:type="dxa"/>
          <w:bottom w:w="15" w:type="dxa"/>
          <w:right w:w="15" w:type="dxa"/>
        </w:tblCellMar>
        <w:tblLook w:val="04A0" w:firstRow="1" w:lastRow="0" w:firstColumn="1" w:lastColumn="0" w:noHBand="0" w:noVBand="1"/>
      </w:tblPr>
      <w:tblGrid>
        <w:gridCol w:w="7054"/>
        <w:gridCol w:w="951"/>
      </w:tblGrid>
      <w:tr w:rsidR="002E6000" w:rsidRPr="002E6000" w14:paraId="0DC216BA" w14:textId="77777777" w:rsidTr="002E60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75388"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Current local housing need figure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C8AB5" w14:textId="77777777" w:rsidR="002E6000" w:rsidRPr="002E6000" w:rsidRDefault="002E6000" w:rsidP="002E6000">
            <w:pPr>
              <w:widowControl/>
              <w:autoSpaceDE/>
              <w:autoSpaceDN/>
              <w:jc w:val="right"/>
              <w:rPr>
                <w:rFonts w:eastAsia="Times New Roman"/>
                <w:sz w:val="24"/>
                <w:szCs w:val="24"/>
                <w:lang w:val="en-GB" w:eastAsia="en-GB"/>
              </w:rPr>
            </w:pPr>
            <w:r w:rsidRPr="002E6000">
              <w:rPr>
                <w:rFonts w:eastAsia="Times New Roman"/>
                <w:color w:val="000000"/>
                <w:sz w:val="24"/>
                <w:szCs w:val="24"/>
                <w:lang w:val="en-GB" w:eastAsia="en-GB"/>
              </w:rPr>
              <w:t>2,131</w:t>
            </w:r>
          </w:p>
        </w:tc>
      </w:tr>
      <w:tr w:rsidR="002E6000" w:rsidRPr="002E6000" w14:paraId="486E2864" w14:textId="77777777" w:rsidTr="002E60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E904B"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5-year requirement (2020/21 to 2024/25): 5 years @ 2,131 per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28C54" w14:textId="77777777" w:rsidR="002E6000" w:rsidRPr="002E6000" w:rsidRDefault="002E6000" w:rsidP="002E6000">
            <w:pPr>
              <w:widowControl/>
              <w:autoSpaceDE/>
              <w:autoSpaceDN/>
              <w:jc w:val="right"/>
              <w:rPr>
                <w:rFonts w:eastAsia="Times New Roman"/>
                <w:sz w:val="24"/>
                <w:szCs w:val="24"/>
                <w:lang w:val="en-GB" w:eastAsia="en-GB"/>
              </w:rPr>
            </w:pPr>
            <w:r w:rsidRPr="002E6000">
              <w:rPr>
                <w:rFonts w:eastAsia="Times New Roman"/>
                <w:color w:val="000000"/>
                <w:sz w:val="24"/>
                <w:szCs w:val="24"/>
                <w:lang w:val="en-GB" w:eastAsia="en-GB"/>
              </w:rPr>
              <w:t>10,655</w:t>
            </w:r>
          </w:p>
        </w:tc>
      </w:tr>
      <w:tr w:rsidR="002E6000" w:rsidRPr="002E6000" w14:paraId="720E5737" w14:textId="77777777" w:rsidTr="002E60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04ECF"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Plus 5% buffer to ensure competition and choice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C3232" w14:textId="77777777" w:rsidR="002E6000" w:rsidRPr="002E6000" w:rsidRDefault="002E6000" w:rsidP="002E6000">
            <w:pPr>
              <w:widowControl/>
              <w:autoSpaceDE/>
              <w:autoSpaceDN/>
              <w:jc w:val="right"/>
              <w:rPr>
                <w:rFonts w:eastAsia="Times New Roman"/>
                <w:sz w:val="24"/>
                <w:szCs w:val="24"/>
                <w:lang w:val="en-GB" w:eastAsia="en-GB"/>
              </w:rPr>
            </w:pPr>
            <w:r w:rsidRPr="002E6000">
              <w:rPr>
                <w:rFonts w:eastAsia="Times New Roman"/>
                <w:color w:val="000000"/>
                <w:sz w:val="24"/>
                <w:szCs w:val="24"/>
                <w:lang w:val="en-GB" w:eastAsia="en-GB"/>
              </w:rPr>
              <w:t>533</w:t>
            </w:r>
          </w:p>
        </w:tc>
      </w:tr>
      <w:tr w:rsidR="002E6000" w:rsidRPr="002E6000" w14:paraId="3DA589B6" w14:textId="77777777" w:rsidTr="002E60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4DBE2"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Total net 5-year 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42D2B" w14:textId="77777777" w:rsidR="002E6000" w:rsidRPr="002E6000" w:rsidRDefault="002E6000" w:rsidP="002E6000">
            <w:pPr>
              <w:widowControl/>
              <w:autoSpaceDE/>
              <w:autoSpaceDN/>
              <w:jc w:val="right"/>
              <w:rPr>
                <w:rFonts w:eastAsia="Times New Roman"/>
                <w:sz w:val="24"/>
                <w:szCs w:val="24"/>
                <w:lang w:val="en-GB" w:eastAsia="en-GB"/>
              </w:rPr>
            </w:pPr>
            <w:r w:rsidRPr="002E6000">
              <w:rPr>
                <w:rFonts w:eastAsia="Times New Roman"/>
                <w:b/>
                <w:bCs/>
                <w:color w:val="000000"/>
                <w:sz w:val="24"/>
                <w:szCs w:val="24"/>
                <w:lang w:val="en-GB" w:eastAsia="en-GB"/>
              </w:rPr>
              <w:t>11,188</w:t>
            </w:r>
          </w:p>
        </w:tc>
      </w:tr>
    </w:tbl>
    <w:p w14:paraId="16CA9456" w14:textId="0179459C"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p>
    <w:p w14:paraId="2470200E" w14:textId="7A9419E5"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b/>
          <w:bCs/>
          <w:color w:val="000000"/>
        </w:rPr>
        <w:t xml:space="preserve">Supply position as </w:t>
      </w:r>
      <w:proofErr w:type="gramStart"/>
      <w:r w:rsidRPr="00F323E4">
        <w:rPr>
          <w:rFonts w:ascii="Arial" w:hAnsi="Arial" w:cs="Arial"/>
          <w:b/>
          <w:bCs/>
          <w:color w:val="000000"/>
        </w:rPr>
        <w:t>at</w:t>
      </w:r>
      <w:proofErr w:type="gramEnd"/>
      <w:r w:rsidRPr="00F323E4">
        <w:rPr>
          <w:rFonts w:ascii="Arial" w:hAnsi="Arial" w:cs="Arial"/>
          <w:b/>
          <w:bCs/>
          <w:color w:val="000000"/>
        </w:rPr>
        <w:t xml:space="preserve"> 1 April 2020</w:t>
      </w:r>
    </w:p>
    <w:p w14:paraId="71081390" w14:textId="6F8A8D2D"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3.7</w:t>
      </w:r>
      <w:r w:rsidRPr="00F323E4">
        <w:rPr>
          <w:rFonts w:ascii="Arial" w:hAnsi="Arial" w:cs="Arial"/>
          <w:color w:val="000000"/>
        </w:rPr>
        <w:tab/>
        <w:t xml:space="preserve">The Council’s position </w:t>
      </w:r>
      <w:proofErr w:type="gramStart"/>
      <w:r w:rsidRPr="00F323E4">
        <w:rPr>
          <w:rFonts w:ascii="Arial" w:hAnsi="Arial" w:cs="Arial"/>
          <w:color w:val="000000"/>
        </w:rPr>
        <w:t>at</w:t>
      </w:r>
      <w:proofErr w:type="gramEnd"/>
      <w:r w:rsidRPr="00F323E4">
        <w:rPr>
          <w:rFonts w:ascii="Arial" w:hAnsi="Arial" w:cs="Arial"/>
          <w:color w:val="000000"/>
        </w:rPr>
        <w:t xml:space="preserve"> 1 April 2020 is that it can demonstrate a 5.4 year deliverable housing land supply, based on the following key information:</w:t>
      </w:r>
    </w:p>
    <w:p w14:paraId="15ECA79A" w14:textId="2C22FD9E" w:rsidR="002E6000" w:rsidRPr="002E6000" w:rsidRDefault="002E6000" w:rsidP="00F323E4">
      <w:pPr>
        <w:widowControl/>
        <w:numPr>
          <w:ilvl w:val="0"/>
          <w:numId w:val="38"/>
        </w:numPr>
        <w:autoSpaceDE/>
        <w:autoSpaceDN/>
        <w:spacing w:line="480" w:lineRule="auto"/>
        <w:ind w:left="1440"/>
        <w:textAlignment w:val="baseline"/>
        <w:rPr>
          <w:rFonts w:eastAsia="Times New Roman"/>
          <w:color w:val="000000"/>
          <w:sz w:val="24"/>
          <w:szCs w:val="24"/>
          <w:lang w:val="en-GB" w:eastAsia="en-GB"/>
        </w:rPr>
      </w:pPr>
      <w:r w:rsidRPr="002E6000">
        <w:rPr>
          <w:rFonts w:eastAsia="Times New Roman"/>
          <w:color w:val="000000"/>
          <w:sz w:val="24"/>
          <w:szCs w:val="24"/>
          <w:lang w:val="en-GB" w:eastAsia="en-GB"/>
        </w:rPr>
        <w:lastRenderedPageBreak/>
        <w:t xml:space="preserve">A base date of 1 April 2020, and a </w:t>
      </w:r>
      <w:r w:rsidR="0058646D">
        <w:rPr>
          <w:rFonts w:eastAsia="Times New Roman"/>
          <w:color w:val="000000"/>
          <w:sz w:val="24"/>
          <w:szCs w:val="24"/>
          <w:lang w:val="en-GB" w:eastAsia="en-GB"/>
        </w:rPr>
        <w:t>5</w:t>
      </w:r>
      <w:r w:rsidRPr="002E6000">
        <w:rPr>
          <w:rFonts w:eastAsia="Times New Roman"/>
          <w:color w:val="000000"/>
          <w:sz w:val="24"/>
          <w:szCs w:val="24"/>
          <w:lang w:val="en-GB" w:eastAsia="en-GB"/>
        </w:rPr>
        <w:t xml:space="preserve"> year period 1 April 2020 to 31 March 2025 inclusive</w:t>
      </w:r>
    </w:p>
    <w:p w14:paraId="32E683A8" w14:textId="77777777" w:rsidR="002E6000" w:rsidRPr="002E6000" w:rsidRDefault="002E6000" w:rsidP="00F323E4">
      <w:pPr>
        <w:widowControl/>
        <w:numPr>
          <w:ilvl w:val="0"/>
          <w:numId w:val="38"/>
        </w:numPr>
        <w:autoSpaceDE/>
        <w:autoSpaceDN/>
        <w:spacing w:line="480" w:lineRule="auto"/>
        <w:ind w:left="1440"/>
        <w:textAlignment w:val="baseline"/>
        <w:rPr>
          <w:rFonts w:eastAsia="Times New Roman"/>
          <w:color w:val="000000"/>
          <w:sz w:val="24"/>
          <w:szCs w:val="24"/>
          <w:lang w:val="en-GB" w:eastAsia="en-GB"/>
        </w:rPr>
      </w:pPr>
      <w:r w:rsidRPr="002E6000">
        <w:rPr>
          <w:rFonts w:eastAsia="Times New Roman"/>
          <w:color w:val="000000"/>
          <w:sz w:val="24"/>
          <w:szCs w:val="24"/>
          <w:lang w:val="en-GB" w:eastAsia="en-GB"/>
        </w:rPr>
        <w:t>A total 5 year requirement of 11,188 homes, comprising 2,131 net additional homes per year plus a 5% buffer to ensure competition and choice (533 homes)</w:t>
      </w:r>
    </w:p>
    <w:p w14:paraId="50558D29" w14:textId="0C0B9C85" w:rsidR="002E6000" w:rsidRPr="002E6000" w:rsidRDefault="002E6000" w:rsidP="00F323E4">
      <w:pPr>
        <w:widowControl/>
        <w:numPr>
          <w:ilvl w:val="0"/>
          <w:numId w:val="38"/>
        </w:numPr>
        <w:autoSpaceDE/>
        <w:autoSpaceDN/>
        <w:spacing w:line="480" w:lineRule="auto"/>
        <w:ind w:left="1440"/>
        <w:textAlignment w:val="baseline"/>
        <w:rPr>
          <w:rFonts w:eastAsia="Times New Roman"/>
          <w:color w:val="000000"/>
          <w:sz w:val="24"/>
          <w:szCs w:val="24"/>
          <w:lang w:val="en-GB" w:eastAsia="en-GB"/>
        </w:rPr>
      </w:pPr>
      <w:r w:rsidRPr="002E6000">
        <w:rPr>
          <w:rFonts w:eastAsia="Times New Roman"/>
          <w:color w:val="000000"/>
          <w:sz w:val="24"/>
          <w:szCs w:val="24"/>
          <w:lang w:val="en-GB" w:eastAsia="en-GB"/>
        </w:rPr>
        <w:t>A net 5 year deliverable supply of 12,1</w:t>
      </w:r>
      <w:r w:rsidR="003273E1">
        <w:rPr>
          <w:rFonts w:eastAsia="Times New Roman"/>
          <w:color w:val="000000"/>
          <w:sz w:val="24"/>
          <w:szCs w:val="24"/>
          <w:lang w:val="en-GB" w:eastAsia="en-GB"/>
        </w:rPr>
        <w:t>31</w:t>
      </w:r>
      <w:r w:rsidRPr="002E6000">
        <w:rPr>
          <w:rFonts w:eastAsia="Times New Roman"/>
          <w:color w:val="000000"/>
          <w:sz w:val="24"/>
          <w:szCs w:val="24"/>
          <w:lang w:val="en-GB" w:eastAsia="en-GB"/>
        </w:rPr>
        <w:t xml:space="preserve"> dwellings. </w:t>
      </w:r>
    </w:p>
    <w:p w14:paraId="15779A6C" w14:textId="1C5D41A5"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3.8</w:t>
      </w:r>
      <w:r w:rsidRPr="00F323E4">
        <w:rPr>
          <w:rFonts w:ascii="Arial" w:hAnsi="Arial" w:cs="Arial"/>
          <w:color w:val="000000"/>
        </w:rPr>
        <w:tab/>
        <w:t>The draft 5 year deliverable supply is broken down as follows:</w:t>
      </w:r>
    </w:p>
    <w:p w14:paraId="40AC2072" w14:textId="77777777" w:rsidR="00F323E4" w:rsidRPr="002E6000" w:rsidRDefault="00F323E4" w:rsidP="002E6000">
      <w:pPr>
        <w:pStyle w:val="NormalWeb"/>
        <w:spacing w:before="0" w:beforeAutospacing="0" w:after="0" w:afterAutospacing="0"/>
        <w:ind w:left="851" w:hanging="851"/>
        <w:textAlignment w:val="baseline"/>
        <w:rPr>
          <w:rFonts w:ascii="Arial" w:hAnsi="Arial" w:cs="Arial"/>
          <w:color w:val="000000"/>
          <w:sz w:val="22"/>
          <w:szCs w:val="22"/>
        </w:rPr>
      </w:pPr>
    </w:p>
    <w:tbl>
      <w:tblPr>
        <w:tblW w:w="0" w:type="auto"/>
        <w:tblInd w:w="809" w:type="dxa"/>
        <w:tblCellMar>
          <w:top w:w="15" w:type="dxa"/>
          <w:left w:w="15" w:type="dxa"/>
          <w:bottom w:w="15" w:type="dxa"/>
          <w:right w:w="15" w:type="dxa"/>
        </w:tblCellMar>
        <w:tblLook w:val="04A0" w:firstRow="1" w:lastRow="0" w:firstColumn="1" w:lastColumn="0" w:noHBand="0" w:noVBand="1"/>
      </w:tblPr>
      <w:tblGrid>
        <w:gridCol w:w="1346"/>
        <w:gridCol w:w="3824"/>
        <w:gridCol w:w="1114"/>
        <w:gridCol w:w="1764"/>
      </w:tblGrid>
      <w:tr w:rsidR="002E6000" w:rsidRPr="002E6000" w14:paraId="78D7F611" w14:textId="77777777" w:rsidTr="002E6000">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86BED70" w14:textId="11B5929C"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Category</w:t>
            </w:r>
            <w:r w:rsidRPr="00F323E4">
              <w:rPr>
                <w:rStyle w:val="FootnoteReference"/>
                <w:rFonts w:eastAsia="Times New Roman"/>
                <w:b/>
                <w:bCs/>
                <w:color w:val="000000"/>
                <w:sz w:val="24"/>
                <w:szCs w:val="24"/>
                <w:lang w:val="en-GB" w:eastAsia="en-GB"/>
              </w:rPr>
              <w:footnoteReference w:id="1"/>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4F80B11C" w14:textId="77777777" w:rsidR="002E6000" w:rsidRPr="002E6000" w:rsidRDefault="002E6000" w:rsidP="002E6000">
            <w:pPr>
              <w:widowControl/>
              <w:autoSpaceDE/>
              <w:autoSpaceDN/>
              <w:rPr>
                <w:rFonts w:eastAsia="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7176DB2"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5-year supply</w:t>
            </w:r>
          </w:p>
        </w:tc>
      </w:tr>
      <w:tr w:rsidR="002E6000" w:rsidRPr="002E6000" w14:paraId="22E81CDA" w14:textId="77777777" w:rsidTr="002E6000">
        <w:trPr>
          <w:trHeight w:val="58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7D10E"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BC8B3"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 xml:space="preserve">Large sites with </w:t>
            </w:r>
            <w:r w:rsidRPr="002E6000">
              <w:rPr>
                <w:rFonts w:eastAsia="Times New Roman"/>
                <w:b/>
                <w:bCs/>
                <w:color w:val="000000"/>
                <w:sz w:val="24"/>
                <w:szCs w:val="24"/>
                <w:lang w:val="en-GB" w:eastAsia="en-GB"/>
              </w:rPr>
              <w:t>full</w:t>
            </w:r>
            <w:r w:rsidRPr="002E6000">
              <w:rPr>
                <w:rFonts w:eastAsia="Times New Roman"/>
                <w:color w:val="000000"/>
                <w:sz w:val="24"/>
                <w:szCs w:val="24"/>
                <w:lang w:val="en-GB" w:eastAsia="en-GB"/>
              </w:rPr>
              <w:t xml:space="preserve"> planning permission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F40DC" w14:textId="21C0BBBC"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9,4</w:t>
            </w:r>
            <w:r w:rsidR="003273E1">
              <w:rPr>
                <w:rFonts w:eastAsia="Times New Roman"/>
                <w:color w:val="000000"/>
                <w:sz w:val="24"/>
                <w:szCs w:val="24"/>
                <w:lang w:val="en-GB" w:eastAsia="en-GB"/>
              </w:rPr>
              <w:t>89</w:t>
            </w:r>
          </w:p>
        </w:tc>
      </w:tr>
      <w:tr w:rsidR="002E6000" w:rsidRPr="002E6000" w14:paraId="1289200F" w14:textId="77777777" w:rsidTr="002E60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7A472" w14:textId="77777777" w:rsidR="002E6000" w:rsidRPr="002E6000" w:rsidRDefault="002E6000" w:rsidP="002E6000">
            <w:pPr>
              <w:widowControl/>
              <w:autoSpaceDE/>
              <w:autoSpaceDN/>
              <w:rPr>
                <w:rFonts w:eastAsia="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C8DAB"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Under construction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3B44E" w14:textId="731B0396"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4,8</w:t>
            </w:r>
            <w:r w:rsidR="003273E1">
              <w:rPr>
                <w:rFonts w:eastAsia="Times New Roman"/>
                <w:color w:val="000000"/>
                <w:sz w:val="24"/>
                <w:szCs w:val="24"/>
                <w:lang w:val="en-GB" w:eastAsia="en-GB"/>
              </w:rPr>
              <w:t>64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1916B6" w14:textId="77777777" w:rsidR="002E6000" w:rsidRPr="002E6000" w:rsidRDefault="002E6000" w:rsidP="002E6000">
            <w:pPr>
              <w:widowControl/>
              <w:autoSpaceDE/>
              <w:autoSpaceDN/>
              <w:rPr>
                <w:rFonts w:eastAsia="Times New Roman"/>
                <w:sz w:val="24"/>
                <w:szCs w:val="24"/>
                <w:lang w:val="en-GB" w:eastAsia="en-GB"/>
              </w:rPr>
            </w:pPr>
          </w:p>
        </w:tc>
      </w:tr>
      <w:tr w:rsidR="002E6000" w:rsidRPr="002E6000" w14:paraId="3501EE34" w14:textId="77777777" w:rsidTr="002E60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9F8E0E" w14:textId="77777777" w:rsidR="002E6000" w:rsidRPr="002E6000" w:rsidRDefault="002E6000" w:rsidP="002E6000">
            <w:pPr>
              <w:widowControl/>
              <w:autoSpaceDE/>
              <w:autoSpaceDN/>
              <w:rPr>
                <w:rFonts w:eastAsia="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9882D"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Not started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9FF10"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4,168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0AE50C" w14:textId="77777777" w:rsidR="002E6000" w:rsidRPr="002E6000" w:rsidRDefault="002E6000" w:rsidP="002E6000">
            <w:pPr>
              <w:widowControl/>
              <w:autoSpaceDE/>
              <w:autoSpaceDN/>
              <w:rPr>
                <w:rFonts w:eastAsia="Times New Roman"/>
                <w:sz w:val="24"/>
                <w:szCs w:val="24"/>
                <w:lang w:val="en-GB" w:eastAsia="en-GB"/>
              </w:rPr>
            </w:pPr>
          </w:p>
        </w:tc>
      </w:tr>
      <w:tr w:rsidR="002E6000" w:rsidRPr="002E6000" w14:paraId="5465DF7F" w14:textId="77777777" w:rsidTr="002E60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C0980" w14:textId="77777777" w:rsidR="002E6000" w:rsidRPr="002E6000" w:rsidRDefault="002E6000" w:rsidP="002E6000">
            <w:pPr>
              <w:widowControl/>
              <w:autoSpaceDE/>
              <w:autoSpaceDN/>
              <w:rPr>
                <w:rFonts w:eastAsia="Times New Roman"/>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5275A"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Construction suspended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375D9"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457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2CCA9D" w14:textId="77777777" w:rsidR="002E6000" w:rsidRPr="002E6000" w:rsidRDefault="002E6000" w:rsidP="002E6000">
            <w:pPr>
              <w:widowControl/>
              <w:autoSpaceDE/>
              <w:autoSpaceDN/>
              <w:rPr>
                <w:rFonts w:eastAsia="Times New Roman"/>
                <w:sz w:val="24"/>
                <w:szCs w:val="24"/>
                <w:lang w:val="en-GB" w:eastAsia="en-GB"/>
              </w:rPr>
            </w:pPr>
          </w:p>
        </w:tc>
      </w:tr>
      <w:tr w:rsidR="002E6000" w:rsidRPr="002E6000" w14:paraId="28D1E688" w14:textId="77777777" w:rsidTr="002E60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3BEBA4" w14:textId="77777777" w:rsidR="002E6000" w:rsidRPr="002E6000" w:rsidRDefault="002E6000" w:rsidP="002E6000">
            <w:pPr>
              <w:widowControl/>
              <w:autoSpaceDE/>
              <w:autoSpaceDN/>
              <w:rPr>
                <w:rFonts w:eastAsia="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BF0FC"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Small sites with planning permission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8B770"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1,000</w:t>
            </w:r>
          </w:p>
        </w:tc>
      </w:tr>
      <w:tr w:rsidR="002E6000" w:rsidRPr="002E6000" w14:paraId="18F63A39" w14:textId="77777777" w:rsidTr="002E600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5B4A5"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B</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FCB1F"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 xml:space="preserve">Large sites with </w:t>
            </w:r>
            <w:r w:rsidRPr="002E6000">
              <w:rPr>
                <w:rFonts w:eastAsia="Times New Roman"/>
                <w:b/>
                <w:bCs/>
                <w:color w:val="000000"/>
                <w:sz w:val="24"/>
                <w:szCs w:val="24"/>
                <w:lang w:val="en-GB" w:eastAsia="en-GB"/>
              </w:rPr>
              <w:t>outline</w:t>
            </w:r>
            <w:r w:rsidRPr="002E6000">
              <w:rPr>
                <w:rFonts w:eastAsia="Times New Roman"/>
                <w:color w:val="000000"/>
                <w:sz w:val="24"/>
                <w:szCs w:val="24"/>
                <w:lang w:val="en-GB" w:eastAsia="en-GB"/>
              </w:rPr>
              <w:t xml:space="preserve"> planning permission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05267"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366</w:t>
            </w:r>
          </w:p>
        </w:tc>
      </w:tr>
      <w:tr w:rsidR="002E6000" w:rsidRPr="002E6000" w14:paraId="363B5DA9" w14:textId="77777777" w:rsidTr="002E60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24597A" w14:textId="77777777" w:rsidR="002E6000" w:rsidRPr="002E6000" w:rsidRDefault="002E6000" w:rsidP="002E6000">
            <w:pPr>
              <w:widowControl/>
              <w:autoSpaceDE/>
              <w:autoSpaceDN/>
              <w:rPr>
                <w:rFonts w:eastAsia="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95CB6"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Development plan allocations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67F38"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0</w:t>
            </w:r>
          </w:p>
        </w:tc>
      </w:tr>
      <w:tr w:rsidR="002E6000" w:rsidRPr="002E6000" w14:paraId="38C104CD" w14:textId="77777777" w:rsidTr="002E60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84FFD4" w14:textId="77777777" w:rsidR="002E6000" w:rsidRPr="002E6000" w:rsidRDefault="002E6000" w:rsidP="002E6000">
            <w:pPr>
              <w:widowControl/>
              <w:autoSpaceDE/>
              <w:autoSpaceDN/>
              <w:rPr>
                <w:rFonts w:eastAsia="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71CEA"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Sites with permission in principle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D1FFC"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0</w:t>
            </w:r>
          </w:p>
        </w:tc>
      </w:tr>
      <w:tr w:rsidR="002E6000" w:rsidRPr="002E6000" w14:paraId="2E988222" w14:textId="77777777" w:rsidTr="002E60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E208DC" w14:textId="77777777" w:rsidR="002E6000" w:rsidRPr="002E6000" w:rsidRDefault="002E6000" w:rsidP="002E6000">
            <w:pPr>
              <w:widowControl/>
              <w:autoSpaceDE/>
              <w:autoSpaceDN/>
              <w:rPr>
                <w:rFonts w:eastAsia="Times New Roman"/>
                <w:sz w:val="24"/>
                <w:szCs w:val="24"/>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AB855"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Sites identified on the brownfield register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EA1F7" w14:textId="262B181A"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1,5</w:t>
            </w:r>
            <w:r w:rsidR="00B21E69">
              <w:rPr>
                <w:rFonts w:eastAsia="Times New Roman"/>
                <w:color w:val="000000"/>
                <w:sz w:val="24"/>
                <w:szCs w:val="24"/>
                <w:lang w:val="en-GB" w:eastAsia="en-GB"/>
              </w:rPr>
              <w:t>26</w:t>
            </w:r>
          </w:p>
        </w:tc>
      </w:tr>
      <w:tr w:rsidR="002E6000" w:rsidRPr="002E6000" w14:paraId="11A47B84" w14:textId="77777777" w:rsidTr="002E600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5206E"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Gross Supply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9D9C7" w14:textId="5FD229B5"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12,3</w:t>
            </w:r>
            <w:r w:rsidR="003273E1">
              <w:rPr>
                <w:rFonts w:eastAsia="Times New Roman"/>
                <w:b/>
                <w:bCs/>
                <w:color w:val="000000"/>
                <w:sz w:val="24"/>
                <w:szCs w:val="24"/>
                <w:lang w:val="en-GB" w:eastAsia="en-GB"/>
              </w:rPr>
              <w:t>81</w:t>
            </w:r>
          </w:p>
        </w:tc>
      </w:tr>
      <w:tr w:rsidR="002E6000" w:rsidRPr="002E6000" w14:paraId="42F0D235" w14:textId="77777777" w:rsidTr="002E600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330B8"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Minus estimated losses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104C5"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250</w:t>
            </w:r>
          </w:p>
        </w:tc>
      </w:tr>
      <w:tr w:rsidR="002E6000" w:rsidRPr="002E6000" w14:paraId="33FD9963" w14:textId="77777777" w:rsidTr="002E600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D1086"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Net Supply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FB348" w14:textId="60BBBC4F"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12,</w:t>
            </w:r>
            <w:r w:rsidR="00B21E69">
              <w:rPr>
                <w:rFonts w:eastAsia="Times New Roman"/>
                <w:b/>
                <w:bCs/>
                <w:color w:val="000000"/>
                <w:sz w:val="24"/>
                <w:szCs w:val="24"/>
                <w:lang w:val="en-GB" w:eastAsia="en-GB"/>
              </w:rPr>
              <w:t>1</w:t>
            </w:r>
            <w:r w:rsidR="003273E1">
              <w:rPr>
                <w:rFonts w:eastAsia="Times New Roman"/>
                <w:b/>
                <w:bCs/>
                <w:color w:val="000000"/>
                <w:sz w:val="24"/>
                <w:szCs w:val="24"/>
                <w:lang w:val="en-GB" w:eastAsia="en-GB"/>
              </w:rPr>
              <w:t>31</w:t>
            </w:r>
          </w:p>
        </w:tc>
      </w:tr>
      <w:tr w:rsidR="002E6000" w:rsidRPr="002E6000" w14:paraId="64D82AEE" w14:textId="77777777" w:rsidTr="002E6000">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248B4"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Net Requirement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BDDC8"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11,188</w:t>
            </w:r>
          </w:p>
        </w:tc>
      </w:tr>
      <w:tr w:rsidR="002E6000" w:rsidRPr="002E6000" w14:paraId="68F686D9" w14:textId="77777777" w:rsidTr="002E6000">
        <w:trPr>
          <w:trHeight w:val="32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3CE2B"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color w:val="000000"/>
                <w:sz w:val="24"/>
                <w:szCs w:val="24"/>
                <w:lang w:val="en-GB" w:eastAsia="en-GB"/>
              </w:rPr>
              <w:t>5-year deliverable supply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91C11" w14:textId="77777777" w:rsidR="002E6000" w:rsidRPr="002E6000" w:rsidRDefault="002E6000" w:rsidP="002E6000">
            <w:pPr>
              <w:widowControl/>
              <w:autoSpaceDE/>
              <w:autoSpaceDN/>
              <w:rPr>
                <w:rFonts w:eastAsia="Times New Roman"/>
                <w:sz w:val="24"/>
                <w:szCs w:val="24"/>
                <w:lang w:val="en-GB" w:eastAsia="en-GB"/>
              </w:rPr>
            </w:pPr>
            <w:r w:rsidRPr="002E6000">
              <w:rPr>
                <w:rFonts w:eastAsia="Times New Roman"/>
                <w:b/>
                <w:bCs/>
                <w:color w:val="000000"/>
                <w:sz w:val="24"/>
                <w:szCs w:val="24"/>
                <w:lang w:val="en-GB" w:eastAsia="en-GB"/>
              </w:rPr>
              <w:t>5.4 years </w:t>
            </w:r>
          </w:p>
        </w:tc>
      </w:tr>
    </w:tbl>
    <w:p w14:paraId="4192A936" w14:textId="77777777" w:rsidR="002E6000" w:rsidRPr="00F323E4" w:rsidRDefault="002E6000" w:rsidP="002E6000">
      <w:pPr>
        <w:pStyle w:val="NormalWeb"/>
        <w:spacing w:before="0" w:beforeAutospacing="0" w:after="0" w:afterAutospacing="0"/>
        <w:ind w:left="851" w:hanging="851"/>
        <w:textAlignment w:val="baseline"/>
        <w:rPr>
          <w:rFonts w:ascii="Arial" w:hAnsi="Arial" w:cs="Arial"/>
          <w:color w:val="000000"/>
          <w:sz w:val="22"/>
          <w:szCs w:val="22"/>
        </w:rPr>
      </w:pPr>
    </w:p>
    <w:p w14:paraId="4C5FF376" w14:textId="557E6A64" w:rsidR="002E6000" w:rsidRPr="00F323E4" w:rsidRDefault="002E6000" w:rsidP="00F323E4">
      <w:pPr>
        <w:pStyle w:val="NormalWeb"/>
        <w:spacing w:before="0" w:beforeAutospacing="0" w:after="0" w:afterAutospacing="0" w:line="480" w:lineRule="auto"/>
        <w:ind w:left="851" w:hanging="851"/>
        <w:textAlignment w:val="baseline"/>
        <w:rPr>
          <w:rFonts w:ascii="Arial" w:hAnsi="Arial" w:cs="Arial"/>
          <w:b/>
          <w:bCs/>
          <w:color w:val="000000"/>
        </w:rPr>
      </w:pPr>
      <w:r w:rsidRPr="00F323E4">
        <w:rPr>
          <w:rFonts w:ascii="Arial" w:hAnsi="Arial" w:cs="Arial"/>
          <w:b/>
          <w:bCs/>
          <w:color w:val="000000"/>
        </w:rPr>
        <w:t xml:space="preserve">Sources of supply </w:t>
      </w:r>
    </w:p>
    <w:p w14:paraId="6DC45265" w14:textId="52F6A32F" w:rsidR="002E6000" w:rsidRPr="00F323E4" w:rsidRDefault="002E6000" w:rsidP="00F323E4">
      <w:pPr>
        <w:pStyle w:val="BodyText"/>
        <w:spacing w:line="480" w:lineRule="auto"/>
        <w:ind w:hanging="820"/>
        <w:rPr>
          <w:color w:val="000000"/>
        </w:rPr>
      </w:pPr>
      <w:r w:rsidRPr="00F323E4">
        <w:t>3.9</w:t>
      </w:r>
      <w:r w:rsidRPr="00F323E4">
        <w:tab/>
      </w:r>
      <w:r w:rsidRPr="00F323E4">
        <w:rPr>
          <w:color w:val="000000"/>
        </w:rPr>
        <w:t>Schedules listing the sites that comprise the categories referred to in the supply table above are included in the 5 Year Housing Land Supply Monitoring Report that is appended to this proof of evidence.</w:t>
      </w:r>
    </w:p>
    <w:p w14:paraId="5ADF34F0" w14:textId="7C67A9D1" w:rsidR="002E6000" w:rsidRDefault="002E6000" w:rsidP="00F323E4">
      <w:pPr>
        <w:pStyle w:val="BodyText"/>
        <w:spacing w:line="480" w:lineRule="auto"/>
        <w:ind w:hanging="820"/>
        <w:rPr>
          <w:color w:val="000000"/>
        </w:rPr>
      </w:pPr>
      <w:r w:rsidRPr="00F323E4">
        <w:t>3.10</w:t>
      </w:r>
      <w:r w:rsidRPr="00F323E4">
        <w:tab/>
      </w:r>
      <w:r w:rsidR="00F323E4" w:rsidRPr="00F323E4">
        <w:rPr>
          <w:color w:val="000000"/>
        </w:rPr>
        <w:t xml:space="preserve">The supply is broken down into two categories that reflect the definition of deliverable as set out in Annex 2 of the Framework.  Category A includes those sites that should be considered deliverable unless there is clear </w:t>
      </w:r>
      <w:r w:rsidR="00F323E4" w:rsidRPr="00F323E4">
        <w:rPr>
          <w:color w:val="000000"/>
        </w:rPr>
        <w:lastRenderedPageBreak/>
        <w:t xml:space="preserve">evidence that homes will not be delivered within five years.  Category B includes sites that should only be considered deliverable where there is clear evidence that housing completions will begin on </w:t>
      </w:r>
      <w:r w:rsidR="00F323E4" w:rsidRPr="00B43F08">
        <w:rPr>
          <w:color w:val="000000"/>
        </w:rPr>
        <w:t>site within five years.</w:t>
      </w:r>
    </w:p>
    <w:p w14:paraId="2FEAB901" w14:textId="4010E6DC" w:rsidR="00C21E63" w:rsidRPr="00F323E4" w:rsidRDefault="00C21E63" w:rsidP="00F323E4">
      <w:pPr>
        <w:pStyle w:val="BodyText"/>
        <w:spacing w:line="480" w:lineRule="auto"/>
        <w:ind w:hanging="820"/>
        <w:rPr>
          <w:color w:val="000000"/>
        </w:rPr>
      </w:pPr>
      <w:r>
        <w:t>3.11</w:t>
      </w:r>
      <w:r>
        <w:tab/>
        <w:t xml:space="preserve">The Monitoring Report sets out the assumptions that have been used for estimating build rates for developing large sites where the developers own estimates are not available, with reference to the HELAA (Monitoring Report, table 3).  Where available we have taken account of the developer’s estimates but considered those estimates in the context of the methodology.  This may mean that in some cases our estimates are lower than that provided by the developer.   </w:t>
      </w:r>
    </w:p>
    <w:p w14:paraId="0BF735C2" w14:textId="39E19C5E" w:rsidR="00F323E4" w:rsidRPr="00F323E4" w:rsidRDefault="00F323E4" w:rsidP="00F323E4">
      <w:pPr>
        <w:pStyle w:val="BodyText"/>
        <w:spacing w:line="480" w:lineRule="auto"/>
        <w:ind w:hanging="820"/>
        <w:rPr>
          <w:b/>
          <w:bCs/>
        </w:rPr>
      </w:pPr>
      <w:r w:rsidRPr="00F323E4">
        <w:rPr>
          <w:b/>
          <w:bCs/>
        </w:rPr>
        <w:t xml:space="preserve">Category A </w:t>
      </w:r>
    </w:p>
    <w:p w14:paraId="1F389432" w14:textId="64BC4530" w:rsidR="00F323E4" w:rsidRPr="00F323E4" w:rsidRDefault="00F323E4" w:rsidP="00F323E4">
      <w:pPr>
        <w:pStyle w:val="BodyText"/>
        <w:spacing w:line="480" w:lineRule="auto"/>
        <w:ind w:hanging="820"/>
        <w:rPr>
          <w:color w:val="000000"/>
        </w:rPr>
      </w:pPr>
      <w:r w:rsidRPr="00F323E4">
        <w:t>3.1</w:t>
      </w:r>
      <w:r w:rsidR="00C21E63">
        <w:t>2</w:t>
      </w:r>
      <w:r w:rsidRPr="00F323E4">
        <w:tab/>
      </w:r>
      <w:r w:rsidRPr="00F323E4">
        <w:rPr>
          <w:color w:val="000000"/>
        </w:rPr>
        <w:t xml:space="preserve">The largest element of the </w:t>
      </w:r>
      <w:proofErr w:type="gramStart"/>
      <w:r w:rsidRPr="00F323E4">
        <w:rPr>
          <w:color w:val="000000"/>
        </w:rPr>
        <w:t>5 year</w:t>
      </w:r>
      <w:proofErr w:type="gramEnd"/>
      <w:r w:rsidRPr="00F323E4">
        <w:rPr>
          <w:color w:val="000000"/>
        </w:rPr>
        <w:t xml:space="preserve"> supply is large sites with full planning permission, representing around three quarters of the gross supply.  Over half of these are on sites that are already under construction.</w:t>
      </w:r>
    </w:p>
    <w:p w14:paraId="54D1E330" w14:textId="721B51C2" w:rsidR="00F323E4" w:rsidRPr="00F323E4" w:rsidRDefault="00F323E4" w:rsidP="00F323E4">
      <w:pPr>
        <w:pStyle w:val="BodyText"/>
        <w:spacing w:line="480" w:lineRule="auto"/>
        <w:ind w:hanging="820"/>
        <w:rPr>
          <w:color w:val="000000"/>
        </w:rPr>
      </w:pPr>
      <w:r w:rsidRPr="002136F6">
        <w:rPr>
          <w:color w:val="000000"/>
        </w:rPr>
        <w:t>3.1</w:t>
      </w:r>
      <w:r w:rsidR="00C21E63">
        <w:rPr>
          <w:color w:val="000000"/>
        </w:rPr>
        <w:t>3</w:t>
      </w:r>
      <w:r w:rsidRPr="00B43F08">
        <w:rPr>
          <w:color w:val="000000"/>
        </w:rPr>
        <w:tab/>
      </w:r>
      <w:r w:rsidRPr="002136F6">
        <w:rPr>
          <w:color w:val="000000"/>
        </w:rPr>
        <w:t xml:space="preserve">The </w:t>
      </w:r>
      <w:proofErr w:type="gramStart"/>
      <w:r w:rsidRPr="002136F6">
        <w:rPr>
          <w:color w:val="000000"/>
        </w:rPr>
        <w:t>5 year</w:t>
      </w:r>
      <w:proofErr w:type="gramEnd"/>
      <w:r w:rsidRPr="002136F6">
        <w:rPr>
          <w:color w:val="000000"/>
        </w:rPr>
        <w:t xml:space="preserve"> housing land supply includes a figure of 1,000 homes, or 200 homes per year, on small sites.  The Monitoring Report (paragraphs </w:t>
      </w:r>
      <w:r w:rsidR="001361C5">
        <w:rPr>
          <w:color w:val="000000"/>
        </w:rPr>
        <w:t>3.14 to 3.19)</w:t>
      </w:r>
      <w:r w:rsidRPr="002136F6">
        <w:rPr>
          <w:color w:val="000000"/>
        </w:rPr>
        <w:t xml:space="preserve"> includes a more detailed discussion of the evidence that underpins this figure, with reference to paragraph 70 of the Framework, and provides the necessary compelling evidence that they will be a reliable source of supply.</w:t>
      </w:r>
    </w:p>
    <w:p w14:paraId="3A85AFA7" w14:textId="4F86D7C6" w:rsidR="00F323E4" w:rsidRPr="00F323E4" w:rsidRDefault="00F323E4" w:rsidP="00F323E4">
      <w:pPr>
        <w:pStyle w:val="BodyText"/>
        <w:spacing w:line="480" w:lineRule="auto"/>
        <w:ind w:hanging="820"/>
        <w:rPr>
          <w:b/>
          <w:bCs/>
          <w:color w:val="000000"/>
        </w:rPr>
      </w:pPr>
      <w:r w:rsidRPr="00F323E4">
        <w:rPr>
          <w:b/>
          <w:bCs/>
          <w:color w:val="000000"/>
        </w:rPr>
        <w:t>Category B</w:t>
      </w:r>
    </w:p>
    <w:p w14:paraId="581CCB6B" w14:textId="3921DF0E" w:rsidR="00587A4E" w:rsidRDefault="00F323E4"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3.1</w:t>
      </w:r>
      <w:r w:rsidR="00C21E63">
        <w:rPr>
          <w:rFonts w:ascii="Arial" w:hAnsi="Arial" w:cs="Arial"/>
          <w:color w:val="000000"/>
        </w:rPr>
        <w:t>4</w:t>
      </w:r>
      <w:r w:rsidRPr="00F323E4">
        <w:rPr>
          <w:rFonts w:ascii="Arial" w:hAnsi="Arial" w:cs="Arial"/>
          <w:color w:val="000000"/>
        </w:rPr>
        <w:tab/>
      </w:r>
      <w:r w:rsidR="00587A4E">
        <w:rPr>
          <w:rFonts w:ascii="Arial" w:hAnsi="Arial" w:cs="Arial"/>
          <w:color w:val="000000"/>
        </w:rPr>
        <w:t>The approach to sites in category B meets the test of deliverability in respect of the definition provided in Annex 2 of the Framework.  For each site included, I am satisfied that there is</w:t>
      </w:r>
      <w:r w:rsidR="00EF19B9">
        <w:rPr>
          <w:rFonts w:ascii="Arial" w:hAnsi="Arial" w:cs="Arial"/>
          <w:color w:val="000000"/>
        </w:rPr>
        <w:t xml:space="preserve"> site specific,</w:t>
      </w:r>
      <w:r w:rsidR="00587A4E">
        <w:rPr>
          <w:rFonts w:ascii="Arial" w:hAnsi="Arial" w:cs="Arial"/>
          <w:color w:val="000000"/>
        </w:rPr>
        <w:t xml:space="preserve"> clear evidence that housing completions will begin on site within 5 years.  </w:t>
      </w:r>
    </w:p>
    <w:p w14:paraId="198831F9" w14:textId="636F71AB" w:rsidR="00F323E4" w:rsidRPr="00F323E4" w:rsidRDefault="00587A4E" w:rsidP="00F323E4">
      <w:pPr>
        <w:pStyle w:val="NormalWeb"/>
        <w:spacing w:before="0" w:beforeAutospacing="0" w:after="0" w:afterAutospacing="0" w:line="480" w:lineRule="auto"/>
        <w:ind w:left="851" w:hanging="851"/>
        <w:textAlignment w:val="baseline"/>
        <w:rPr>
          <w:rFonts w:ascii="Arial" w:hAnsi="Arial" w:cs="Arial"/>
          <w:color w:val="000000"/>
        </w:rPr>
      </w:pPr>
      <w:r>
        <w:rPr>
          <w:rFonts w:ascii="Arial" w:hAnsi="Arial" w:cs="Arial"/>
          <w:color w:val="000000"/>
        </w:rPr>
        <w:lastRenderedPageBreak/>
        <w:t>3.1</w:t>
      </w:r>
      <w:r w:rsidR="00C21E63">
        <w:rPr>
          <w:rFonts w:ascii="Arial" w:hAnsi="Arial" w:cs="Arial"/>
          <w:color w:val="000000"/>
        </w:rPr>
        <w:t>5</w:t>
      </w:r>
      <w:r>
        <w:rPr>
          <w:rFonts w:ascii="Arial" w:hAnsi="Arial" w:cs="Arial"/>
          <w:color w:val="000000"/>
        </w:rPr>
        <w:tab/>
      </w:r>
      <w:r w:rsidR="00F323E4" w:rsidRPr="00F323E4">
        <w:rPr>
          <w:rFonts w:ascii="Arial" w:hAnsi="Arial" w:cs="Arial"/>
          <w:color w:val="000000"/>
        </w:rPr>
        <w:t>Two sites with outline planning permission are included within the 5 year supply.  Evidence of deliverability has been provided for both sites in the form of signed pro forma.</w:t>
      </w:r>
    </w:p>
    <w:p w14:paraId="43560E2A" w14:textId="57F7070D" w:rsidR="00F323E4" w:rsidRPr="00F323E4" w:rsidRDefault="00F323E4"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3.1</w:t>
      </w:r>
      <w:r w:rsidR="00C21E63">
        <w:rPr>
          <w:rFonts w:ascii="Arial" w:hAnsi="Arial" w:cs="Arial"/>
          <w:color w:val="000000"/>
        </w:rPr>
        <w:t>6</w:t>
      </w:r>
      <w:r w:rsidRPr="00F323E4">
        <w:rPr>
          <w:rFonts w:ascii="Arial" w:hAnsi="Arial" w:cs="Arial"/>
          <w:color w:val="000000"/>
        </w:rPr>
        <w:tab/>
        <w:t>No housing site allocations in Sheffield’s Unitary Development Plan are included within the supply.  Only a small number of allocations remain, including the appeal site.</w:t>
      </w:r>
    </w:p>
    <w:p w14:paraId="53736D50" w14:textId="4CE6A7D4" w:rsidR="00F323E4" w:rsidRPr="00F323E4" w:rsidRDefault="00F323E4"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3.1</w:t>
      </w:r>
      <w:r w:rsidR="00C21E63">
        <w:rPr>
          <w:rFonts w:ascii="Arial" w:hAnsi="Arial" w:cs="Arial"/>
          <w:color w:val="000000"/>
        </w:rPr>
        <w:t>7</w:t>
      </w:r>
      <w:r w:rsidRPr="00F323E4">
        <w:rPr>
          <w:rFonts w:ascii="Arial" w:hAnsi="Arial" w:cs="Arial"/>
          <w:color w:val="000000"/>
        </w:rPr>
        <w:tab/>
        <w:t xml:space="preserve">The largest element of supply within category B is sites identified on the brownfield register.  This category comprises 17 sites that either form part of the business plan for the Sheffield Housing Company or are within the Council’s Stock Increase Programme.  Further detail is provided in the Monitoring Report relating to the operation of these two schemes and the evidence </w:t>
      </w:r>
      <w:r w:rsidR="0058646D">
        <w:rPr>
          <w:rFonts w:ascii="Arial" w:hAnsi="Arial" w:cs="Arial"/>
          <w:color w:val="000000"/>
        </w:rPr>
        <w:t xml:space="preserve">is </w:t>
      </w:r>
      <w:proofErr w:type="gramStart"/>
      <w:r w:rsidRPr="00F323E4">
        <w:rPr>
          <w:rFonts w:ascii="Arial" w:hAnsi="Arial" w:cs="Arial"/>
          <w:color w:val="000000"/>
        </w:rPr>
        <w:t>provided that</w:t>
      </w:r>
      <w:proofErr w:type="gramEnd"/>
      <w:r w:rsidRPr="00F323E4">
        <w:rPr>
          <w:rFonts w:ascii="Arial" w:hAnsi="Arial" w:cs="Arial"/>
          <w:color w:val="000000"/>
        </w:rPr>
        <w:t xml:space="preserve"> enables these sites to be included within the deliverable 5 year supply.</w:t>
      </w:r>
      <w:r w:rsidR="00007D45">
        <w:rPr>
          <w:rFonts w:ascii="Arial" w:hAnsi="Arial" w:cs="Arial"/>
          <w:color w:val="000000"/>
        </w:rPr>
        <w:t xml:space="preserve">  For each site I am satisfied that there is clear evidence of deliverability, with a signed pro forma provided for each.  </w:t>
      </w:r>
    </w:p>
    <w:p w14:paraId="0310B873" w14:textId="79F36785" w:rsidR="00F323E4" w:rsidRPr="00F323E4" w:rsidRDefault="00F323E4" w:rsidP="00F323E4">
      <w:pPr>
        <w:pStyle w:val="NormalWeb"/>
        <w:spacing w:before="0" w:beforeAutospacing="0" w:after="0" w:afterAutospacing="0" w:line="480" w:lineRule="auto"/>
        <w:ind w:left="851" w:hanging="851"/>
        <w:textAlignment w:val="baseline"/>
        <w:rPr>
          <w:rFonts w:ascii="Arial" w:hAnsi="Arial" w:cs="Arial"/>
          <w:color w:val="000000"/>
        </w:rPr>
      </w:pPr>
      <w:r w:rsidRPr="00F323E4">
        <w:rPr>
          <w:rFonts w:ascii="Arial" w:hAnsi="Arial" w:cs="Arial"/>
          <w:color w:val="000000"/>
        </w:rPr>
        <w:t>3.1</w:t>
      </w:r>
      <w:r w:rsidR="00C21E63">
        <w:rPr>
          <w:rFonts w:ascii="Arial" w:hAnsi="Arial" w:cs="Arial"/>
          <w:color w:val="000000"/>
        </w:rPr>
        <w:t>8</w:t>
      </w:r>
      <w:r w:rsidRPr="00F323E4">
        <w:rPr>
          <w:rFonts w:ascii="Arial" w:hAnsi="Arial" w:cs="Arial"/>
          <w:color w:val="000000"/>
        </w:rPr>
        <w:tab/>
        <w:t xml:space="preserve">As </w:t>
      </w:r>
      <w:proofErr w:type="gramStart"/>
      <w:r w:rsidRPr="00F323E4">
        <w:rPr>
          <w:rFonts w:ascii="Arial" w:hAnsi="Arial" w:cs="Arial"/>
          <w:color w:val="000000"/>
        </w:rPr>
        <w:t>at</w:t>
      </w:r>
      <w:proofErr w:type="gramEnd"/>
      <w:r w:rsidRPr="00F323E4">
        <w:rPr>
          <w:rFonts w:ascii="Arial" w:hAnsi="Arial" w:cs="Arial"/>
          <w:color w:val="000000"/>
        </w:rPr>
        <w:t xml:space="preserve"> 1 April 2020, the supply of deliverable housing land has increased from 5.1 years (at 1 April 2019) to 5.4 years.  This represents an increase of homes in the supply chain.  The two elements which have increased are large sites with full planning permission and sites identified on the brownfield register.  The impact of </w:t>
      </w:r>
      <w:proofErr w:type="spellStart"/>
      <w:r w:rsidRPr="00F323E4">
        <w:rPr>
          <w:rFonts w:ascii="Arial" w:hAnsi="Arial" w:cs="Arial"/>
          <w:color w:val="000000"/>
        </w:rPr>
        <w:t>Covid</w:t>
      </w:r>
      <w:proofErr w:type="spellEnd"/>
      <w:r w:rsidRPr="00F323E4">
        <w:rPr>
          <w:rFonts w:ascii="Arial" w:hAnsi="Arial" w:cs="Arial"/>
          <w:color w:val="000000"/>
        </w:rPr>
        <w:t xml:space="preserve"> 19 has been considered, taking account of the views of the development industry, both through the HELAA working group and through direct correspondence with developers with active sites in the 5 year supply.</w:t>
      </w:r>
      <w:r w:rsidR="00B43F08">
        <w:rPr>
          <w:rFonts w:ascii="Arial" w:hAnsi="Arial" w:cs="Arial"/>
          <w:color w:val="000000"/>
        </w:rPr>
        <w:t xml:space="preserve">  Paragraph</w:t>
      </w:r>
      <w:r w:rsidR="001361C5">
        <w:rPr>
          <w:rFonts w:ascii="Arial" w:hAnsi="Arial" w:cs="Arial"/>
          <w:color w:val="000000"/>
        </w:rPr>
        <w:t>s 3.8 and 3.9</w:t>
      </w:r>
      <w:r w:rsidR="00B43F08">
        <w:rPr>
          <w:rFonts w:ascii="Arial" w:hAnsi="Arial" w:cs="Arial"/>
          <w:color w:val="000000"/>
        </w:rPr>
        <w:t xml:space="preserve"> in the Monitoring Report identif</w:t>
      </w:r>
      <w:r w:rsidR="001361C5">
        <w:rPr>
          <w:rFonts w:ascii="Arial" w:hAnsi="Arial" w:cs="Arial"/>
          <w:color w:val="000000"/>
        </w:rPr>
        <w:t>y</w:t>
      </w:r>
      <w:r w:rsidR="00B43F08">
        <w:rPr>
          <w:rFonts w:ascii="Arial" w:hAnsi="Arial" w:cs="Arial"/>
          <w:color w:val="000000"/>
        </w:rPr>
        <w:t xml:space="preserve"> the key issues and implications raised through dialogue with the development industry.</w:t>
      </w:r>
    </w:p>
    <w:p w14:paraId="2610D629" w14:textId="77777777" w:rsidR="00F323E4" w:rsidRPr="00F323E4" w:rsidRDefault="00F323E4" w:rsidP="00F323E4">
      <w:pPr>
        <w:pStyle w:val="NormalWeb"/>
        <w:spacing w:before="0" w:beforeAutospacing="0" w:after="0" w:afterAutospacing="0"/>
        <w:ind w:left="851" w:hanging="851"/>
        <w:textAlignment w:val="baseline"/>
        <w:rPr>
          <w:rFonts w:ascii="Arial" w:hAnsi="Arial" w:cs="Arial"/>
          <w:color w:val="000000"/>
          <w:sz w:val="22"/>
          <w:szCs w:val="22"/>
        </w:rPr>
        <w:sectPr w:rsidR="00F323E4" w:rsidRPr="00F323E4" w:rsidSect="002E6000">
          <w:pgSz w:w="11910" w:h="16840"/>
          <w:pgMar w:top="1340" w:right="1680" w:bottom="1276" w:left="1340" w:header="0" w:footer="561" w:gutter="0"/>
          <w:cols w:space="720"/>
        </w:sectPr>
      </w:pPr>
    </w:p>
    <w:p w14:paraId="5FBF9A22" w14:textId="47C14223" w:rsidR="00F323E4" w:rsidRDefault="00F323E4" w:rsidP="00007D45">
      <w:pPr>
        <w:pStyle w:val="Heading1"/>
        <w:ind w:left="851" w:hanging="851"/>
        <w:jc w:val="left"/>
      </w:pPr>
      <w:r w:rsidRPr="00F323E4">
        <w:lastRenderedPageBreak/>
        <w:t>4.0</w:t>
      </w:r>
      <w:r w:rsidRPr="00F323E4">
        <w:tab/>
        <w:t>Conclusion</w:t>
      </w:r>
    </w:p>
    <w:p w14:paraId="5C13158D" w14:textId="77777777" w:rsidR="0058646D" w:rsidRPr="00F323E4" w:rsidRDefault="0058646D" w:rsidP="00007D45">
      <w:pPr>
        <w:pStyle w:val="Heading1"/>
        <w:ind w:left="851" w:hanging="851"/>
        <w:jc w:val="left"/>
      </w:pPr>
    </w:p>
    <w:p w14:paraId="1155B0A6" w14:textId="50D63669" w:rsidR="00F323E4" w:rsidRPr="00F323E4" w:rsidRDefault="00F323E4" w:rsidP="00007D45">
      <w:pPr>
        <w:pStyle w:val="BodyText"/>
        <w:spacing w:line="480" w:lineRule="auto"/>
        <w:ind w:left="851" w:hanging="851"/>
      </w:pPr>
      <w:r w:rsidRPr="00F323E4">
        <w:t>4.1</w:t>
      </w:r>
      <w:r w:rsidRPr="00F323E4">
        <w:tab/>
      </w:r>
      <w:r w:rsidR="00007D45">
        <w:t xml:space="preserve">In conclusion, I am satisfied that sites included within the </w:t>
      </w:r>
      <w:proofErr w:type="gramStart"/>
      <w:r w:rsidR="00007D45">
        <w:t>5 year</w:t>
      </w:r>
      <w:proofErr w:type="gramEnd"/>
      <w:r w:rsidR="00007D45">
        <w:t xml:space="preserve"> housing land supply, and set out in the Monitoring Report, meet the definition of deliverable in Annex 2 of the Framework.</w:t>
      </w:r>
      <w:r w:rsidR="00C21E63">
        <w:t xml:space="preserve">  The position as </w:t>
      </w:r>
      <w:proofErr w:type="gramStart"/>
      <w:r w:rsidR="00C21E63">
        <w:t>at</w:t>
      </w:r>
      <w:proofErr w:type="gramEnd"/>
      <w:r w:rsidR="00C21E63">
        <w:t xml:space="preserve"> 1</w:t>
      </w:r>
      <w:r w:rsidR="00C21E63" w:rsidRPr="00C21E63">
        <w:rPr>
          <w:vertAlign w:val="superscript"/>
        </w:rPr>
        <w:t>st</w:t>
      </w:r>
      <w:r w:rsidR="00C21E63">
        <w:t xml:space="preserve"> April 2020 is that Sheffield City Council can demonstrate a 5.4 year supply of deliverable housing land</w:t>
      </w:r>
      <w:r w:rsidR="00B43F08">
        <w:t>, with reference to the housing requirement</w:t>
      </w:r>
      <w:r w:rsidR="00C21E63">
        <w:t xml:space="preserve">.  </w:t>
      </w:r>
      <w:r w:rsidR="00007D45">
        <w:t xml:space="preserve">  </w:t>
      </w:r>
    </w:p>
    <w:sectPr w:rsidR="00F323E4" w:rsidRPr="00F323E4" w:rsidSect="002E6000">
      <w:pgSz w:w="11910" w:h="16840"/>
      <w:pgMar w:top="1340" w:right="1680" w:bottom="1276" w:left="134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224D8" w14:textId="77777777" w:rsidR="00F45190" w:rsidRDefault="006639F9">
      <w:r>
        <w:separator/>
      </w:r>
    </w:p>
  </w:endnote>
  <w:endnote w:type="continuationSeparator" w:id="0">
    <w:p w14:paraId="6551B761" w14:textId="77777777" w:rsidR="00F45190" w:rsidRDefault="0066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6355" w14:textId="77777777" w:rsidR="00511B56" w:rsidRDefault="006639F9">
    <w:pPr>
      <w:pStyle w:val="BodyText"/>
      <w:spacing w:line="14" w:lineRule="auto"/>
      <w:ind w:left="0" w:firstLine="0"/>
      <w:rPr>
        <w:sz w:val="20"/>
      </w:rPr>
    </w:pPr>
    <w:r>
      <w:rPr>
        <w:noProof/>
        <w:lang w:val="en-GB" w:eastAsia="en-GB"/>
      </w:rPr>
      <w:drawing>
        <wp:anchor distT="0" distB="0" distL="0" distR="0" simplePos="0" relativeHeight="268425095" behindDoc="1" locked="0" layoutInCell="1" allowOverlap="1" wp14:anchorId="57EE3591" wp14:editId="6889E925">
          <wp:simplePos x="0" y="0"/>
          <wp:positionH relativeFrom="page">
            <wp:posOffset>3498151</wp:posOffset>
          </wp:positionH>
          <wp:positionV relativeFrom="page">
            <wp:posOffset>10101579</wp:posOffset>
          </wp:positionV>
          <wp:extent cx="68452" cy="26733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452" cy="267335"/>
                  </a:xfrm>
                  <a:prstGeom prst="rect">
                    <a:avLst/>
                  </a:prstGeom>
                </pic:spPr>
              </pic:pic>
            </a:graphicData>
          </a:graphic>
        </wp:anchor>
      </w:drawing>
    </w:r>
    <w:r>
      <w:rPr>
        <w:noProof/>
        <w:lang w:val="en-GB" w:eastAsia="en-GB"/>
      </w:rPr>
      <w:drawing>
        <wp:anchor distT="0" distB="0" distL="0" distR="0" simplePos="0" relativeHeight="268425119" behindDoc="1" locked="0" layoutInCell="1" allowOverlap="1" wp14:anchorId="0DC218BF" wp14:editId="6A3C04DE">
          <wp:simplePos x="0" y="0"/>
          <wp:positionH relativeFrom="page">
            <wp:posOffset>3989260</wp:posOffset>
          </wp:positionH>
          <wp:positionV relativeFrom="page">
            <wp:posOffset>10101579</wp:posOffset>
          </wp:positionV>
          <wp:extent cx="68325" cy="267335"/>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8325" cy="267335"/>
                  </a:xfrm>
                  <a:prstGeom prst="rect">
                    <a:avLst/>
                  </a:prstGeom>
                </pic:spPr>
              </pic:pic>
            </a:graphicData>
          </a:graphic>
        </wp:anchor>
      </w:drawing>
    </w:r>
    <w:r>
      <w:rPr>
        <w:noProof/>
        <w:lang w:val="en-GB" w:eastAsia="en-GB"/>
      </w:rPr>
      <mc:AlternateContent>
        <mc:Choice Requires="wps">
          <w:drawing>
            <wp:anchor distT="0" distB="0" distL="114300" distR="114300" simplePos="0" relativeHeight="503306168" behindDoc="1" locked="0" layoutInCell="1" allowOverlap="1" wp14:anchorId="1B939C4E" wp14:editId="08E02625">
              <wp:simplePos x="0" y="0"/>
              <wp:positionH relativeFrom="page">
                <wp:posOffset>3717925</wp:posOffset>
              </wp:positionH>
              <wp:positionV relativeFrom="page">
                <wp:posOffset>10158095</wp:posOffset>
              </wp:positionV>
              <wp:extent cx="121920" cy="165735"/>
              <wp:effectExtent l="3175" t="4445" r="0" b="127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9508" w14:textId="77777777" w:rsidR="00511B56" w:rsidRDefault="006639F9">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39C4E" id="_x0000_t202" coordsize="21600,21600" o:spt="202" path="m,l,21600r21600,l21600,xe">
              <v:stroke joinstyle="miter"/>
              <v:path gradientshapeok="t" o:connecttype="rect"/>
            </v:shapetype>
            <v:shape id="Text Box 3" o:spid="_x0000_s1026" type="#_x0000_t202" style="position:absolute;margin-left:292.75pt;margin-top:799.85pt;width:9.6pt;height:13.05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RS5wEAALYDAAAOAAAAZHJzL2Uyb0RvYy54bWysU9tu2zAMfR+wfxD0vjhO0Wwz4hRdiw4D&#10;ugvQ7gNoWY6F2aJGKbGzrx8lx1m3vRV9EWheDg8P6c3V2HfioMkbtKXMF0sptFVYG7sr5ffHuzfv&#10;pPABbA0dWl3Ko/byavv61WZwhV5hi12tSTCI9cXgStmG4Ios86rVPfgFOm052CD1EPiTdllNMDB6&#10;32Wr5XKdDUi1I1Tae/beTkG5TfhNo1X42jReB9GVkrmF9FJ6q/hm2w0UOwLXGnWiAc9g0YOx3PQM&#10;dQsBxJ7Mf1C9UYQem7BQ2GfYNEbpNANPky//meahBafTLCyOd2eZ/MvBqi+HbyRMzbtbS2Gh5x09&#10;6jGIDziKiyjP4HzBWQ+O88LIbk5No3p3j+qHFxZvWrA7fU2EQ6uhZnp5rMyelE44PoJUw2esuQ3s&#10;AyagsaE+asdqCEbnNR3Pq4lUVGy5yt+vOKI4lK8v315cpg5QzMWOfPiosRfRKCXx5hM4HO59iGSg&#10;mFNiL4t3puvS9jv7l4MToyeRj3wn5mGsxpMYFdZHHoNwOiY+fjZapF9SDHxIpfQ/90Baiu6TZSni&#10;1c0GzUY1G2AVl5YySDGZN2G6zr0js2sZeRLb4jXL1Zg0StR1YnHiyceRJjwdcry+p98p68/vtv0N&#10;AAD//wMAUEsDBBQABgAIAAAAIQDhEsSI4QAAAA0BAAAPAAAAZHJzL2Rvd25yZXYueG1sTI/BTsMw&#10;EETvSPyDtUjcqE1FQhLiVBWCExIiDQeOTuwmVuN1iN02/D3Lid52d0azb8rN4kZ2MnOwHiXcrwQw&#10;g53XFnsJn83rXQYsRIVajR6NhB8TYFNdX5Wq0P6MtTntYs8oBEOhJAwxTgXnoRuMU2HlJ4Ok7f3s&#10;VKR17rme1ZnC3cjXQqTcKYv0YVCTeR5Md9gdnYTtF9Yv9vu9/aj3tW2aXOBbepDy9mbZPgGLZon/&#10;ZvjDJ3SoiKn1R9SBjRKSLEnISkKS54/AyJKKBxpaOqXrJANelfyyRfULAAD//wMAUEsBAi0AFAAG&#10;AAgAAAAhALaDOJL+AAAA4QEAABMAAAAAAAAAAAAAAAAAAAAAAFtDb250ZW50X1R5cGVzXS54bWxQ&#10;SwECLQAUAAYACAAAACEAOP0h/9YAAACUAQAACwAAAAAAAAAAAAAAAAAvAQAAX3JlbHMvLnJlbHNQ&#10;SwECLQAUAAYACAAAACEA6rAkUucBAAC2AwAADgAAAAAAAAAAAAAAAAAuAgAAZHJzL2Uyb0RvYy54&#10;bWxQSwECLQAUAAYACAAAACEA4RLEiOEAAAANAQAADwAAAAAAAAAAAAAAAABBBAAAZHJzL2Rvd25y&#10;ZXYueG1sUEsFBgAAAAAEAAQA8wAAAE8FAAAAAA==&#10;" filled="f" stroked="f">
              <v:textbox inset="0,0,0,0">
                <w:txbxContent>
                  <w:p w14:paraId="580A9508" w14:textId="77777777" w:rsidR="00511B56" w:rsidRDefault="006639F9">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32E4" w14:textId="77777777" w:rsidR="00511B56" w:rsidRDefault="006639F9">
    <w:pPr>
      <w:pStyle w:val="BodyText"/>
      <w:spacing w:line="14" w:lineRule="auto"/>
      <w:ind w:left="0" w:firstLine="0"/>
      <w:rPr>
        <w:sz w:val="20"/>
      </w:rPr>
    </w:pPr>
    <w:r>
      <w:rPr>
        <w:noProof/>
        <w:lang w:val="en-GB" w:eastAsia="en-GB"/>
      </w:rPr>
      <w:drawing>
        <wp:anchor distT="0" distB="0" distL="0" distR="0" simplePos="0" relativeHeight="251658240" behindDoc="1" locked="0" layoutInCell="1" allowOverlap="1" wp14:anchorId="1A2409B3" wp14:editId="7394CA9A">
          <wp:simplePos x="0" y="0"/>
          <wp:positionH relativeFrom="page">
            <wp:posOffset>3498151</wp:posOffset>
          </wp:positionH>
          <wp:positionV relativeFrom="page">
            <wp:posOffset>10101579</wp:posOffset>
          </wp:positionV>
          <wp:extent cx="68452" cy="26733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68452" cy="267335"/>
                  </a:xfrm>
                  <a:prstGeom prst="rect">
                    <a:avLst/>
                  </a:prstGeom>
                </pic:spPr>
              </pic:pic>
            </a:graphicData>
          </a:graphic>
        </wp:anchor>
      </w:drawing>
    </w:r>
    <w:r>
      <w:rPr>
        <w:noProof/>
        <w:lang w:val="en-GB" w:eastAsia="en-GB"/>
      </w:rPr>
      <w:drawing>
        <wp:anchor distT="0" distB="0" distL="0" distR="0" simplePos="0" relativeHeight="251663360" behindDoc="1" locked="0" layoutInCell="1" allowOverlap="1" wp14:anchorId="2E2D6717" wp14:editId="1ED89BA0">
          <wp:simplePos x="0" y="0"/>
          <wp:positionH relativeFrom="page">
            <wp:posOffset>3989260</wp:posOffset>
          </wp:positionH>
          <wp:positionV relativeFrom="page">
            <wp:posOffset>10101579</wp:posOffset>
          </wp:positionV>
          <wp:extent cx="68325" cy="26733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68325" cy="267335"/>
                  </a:xfrm>
                  <a:prstGeom prst="rect">
                    <a:avLst/>
                  </a:prstGeom>
                </pic:spPr>
              </pic:pic>
            </a:graphicData>
          </a:graphic>
        </wp:anchor>
      </w:drawing>
    </w:r>
    <w:r>
      <w:rPr>
        <w:noProof/>
        <w:lang w:val="en-GB" w:eastAsia="en-GB"/>
      </w:rPr>
      <mc:AlternateContent>
        <mc:Choice Requires="wps">
          <w:drawing>
            <wp:anchor distT="0" distB="0" distL="114300" distR="114300" simplePos="0" relativeHeight="503306312" behindDoc="1" locked="0" layoutInCell="1" allowOverlap="1" wp14:anchorId="76D6FA6D" wp14:editId="3052155E">
              <wp:simplePos x="0" y="0"/>
              <wp:positionH relativeFrom="page">
                <wp:posOffset>3681730</wp:posOffset>
              </wp:positionH>
              <wp:positionV relativeFrom="page">
                <wp:posOffset>10158095</wp:posOffset>
              </wp:positionV>
              <wp:extent cx="194310" cy="165735"/>
              <wp:effectExtent l="0" t="4445" r="635" b="127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829E" w14:textId="77777777" w:rsidR="00511B56" w:rsidRDefault="006639F9">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6FA6D" id="_x0000_t202" coordsize="21600,21600" o:spt="202" path="m,l,21600r21600,l21600,xe">
              <v:stroke joinstyle="miter"/>
              <v:path gradientshapeok="t" o:connecttype="rect"/>
            </v:shapetype>
            <v:shape id="Text Box 1" o:spid="_x0000_s1027" type="#_x0000_t202" style="position:absolute;margin-left:289.9pt;margin-top:799.85pt;width:15.3pt;height:13.05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6AEAAL0DAAAOAAAAZHJzL2Uyb0RvYy54bWysU1Fv0zAQfkfiP1h+p2k2OljUdBqbhpDG&#10;QNr4AY5jNxaJz5zdJuXXc7abssEb4sU6352/++678/pqGnq2V+gN2JqXiyVnykpojd3W/NvT3Zv3&#10;nPkgbCt6sKrmB+X51eb1q/XoKnUGHfStQkYg1lejq3kXgquKwstODcIvwClLQQ04iEBX3BYtipHQ&#10;h744Wy4vihGwdQhSeU/e2xzkm4SvtZLhi9ZeBdbXnLiFdGI6m3gWm7WotihcZ+SRhvgHFoMwloqe&#10;oG5FEGyH5i+owUgEDzosJAwFaG2kSj1QN+Xyj24eO+FU6oXE8e4kk/9/sPJh/xWZaWl2K86sGGhG&#10;T2oK7ANMrIzyjM5XlPXoKC9M5KbU1Kp39yC/e2bhphN2q64RYeyUaIleelk8e5pxfARpxs/QUhmx&#10;C5CAJo1D1I7UYIROYzqcRhOpyFjy8u15SRFJofJi9e58FbkVopofO/Tho4KBRaPmSJNP4GJ/70NO&#10;nVNiLQt3pu/T9Hv7wkGY0ZPIR76ZeZiaKcs0a9JAe6BuEPJO0R8gowP8ydlI+1Rz/2MnUHHWf7Kk&#10;SFy+2cDZaGZDWElPax44y+ZNyEu6c2i2HSFnzS1ck2rapI6ivJnFkS7tSNLkuM9xCZ/fU9bvX7f5&#10;BQAA//8DAFBLAwQUAAYACAAAACEAu2LvDuIAAAANAQAADwAAAGRycy9kb3ducmV2LnhtbEyPwU7D&#10;MBBE70j8g7VI3KjdiqRNiFNVCE5IiDQcODqxm1iN1yF22/D3LKdynJ3RzNtiO7uBnc0UrEcJy4UA&#10;ZrD12mIn4bN+fdgAC1GhVoNHI+HHBNiWtzeFyrW/YGXO+9gxKsGQKwl9jGPOeWh741RY+NEgeQc/&#10;ORVJTh3Xk7pQuRv4SoiUO2WRFno1mufetMf9yUnYfWH1Yr/fm4/qUNm6zgS+pUcp7+/m3ROwaOZ4&#10;DcMfPqFDSUyNP6EObJCQrDNCj2QkWbYGRpF0KR6BNXRKV8kGeFnw/1+UvwAAAP//AwBQSwECLQAU&#10;AAYACAAAACEAtoM4kv4AAADhAQAAEwAAAAAAAAAAAAAAAAAAAAAAW0NvbnRlbnRfVHlwZXNdLnht&#10;bFBLAQItABQABgAIAAAAIQA4/SH/1gAAAJQBAAALAAAAAAAAAAAAAAAAAC8BAABfcmVscy8ucmVs&#10;c1BLAQItABQABgAIAAAAIQA2//SA6AEAAL0DAAAOAAAAAAAAAAAAAAAAAC4CAABkcnMvZTJvRG9j&#10;LnhtbFBLAQItABQABgAIAAAAIQC7Yu8O4gAAAA0BAAAPAAAAAAAAAAAAAAAAAEIEAABkcnMvZG93&#10;bnJldi54bWxQSwUGAAAAAAQABADzAAAAUQUAAAAA&#10;" filled="f" stroked="f">
              <v:textbox inset="0,0,0,0">
                <w:txbxContent>
                  <w:p w14:paraId="23C8829E" w14:textId="77777777" w:rsidR="00511B56" w:rsidRDefault="006639F9">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9F11B" w14:textId="77777777" w:rsidR="00F45190" w:rsidRDefault="006639F9">
      <w:r>
        <w:separator/>
      </w:r>
    </w:p>
  </w:footnote>
  <w:footnote w:type="continuationSeparator" w:id="0">
    <w:p w14:paraId="4FD1DFEA" w14:textId="77777777" w:rsidR="00F45190" w:rsidRDefault="006639F9">
      <w:r>
        <w:continuationSeparator/>
      </w:r>
    </w:p>
  </w:footnote>
  <w:footnote w:id="1">
    <w:p w14:paraId="7DC62064" w14:textId="1B14AD90" w:rsidR="002E6000" w:rsidRPr="002E6000" w:rsidRDefault="002E6000">
      <w:pPr>
        <w:pStyle w:val="FootnoteText"/>
        <w:rPr>
          <w:lang w:val="en-GB"/>
        </w:rPr>
      </w:pPr>
      <w:r>
        <w:rPr>
          <w:rStyle w:val="FootnoteReference"/>
        </w:rPr>
        <w:footnoteRef/>
      </w:r>
      <w:r>
        <w:t xml:space="preserve"> </w:t>
      </w:r>
      <w:r w:rsidRPr="002E6000">
        <w:t>As noted below these categories reflect those used in the NPPF’s definition of deliverable in Annex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540D"/>
    <w:multiLevelType w:val="hybridMultilevel"/>
    <w:tmpl w:val="9EB4DFE6"/>
    <w:lvl w:ilvl="0" w:tplc="21B80E10">
      <w:start w:val="1"/>
      <w:numFmt w:val="decimal"/>
      <w:lvlText w:val="%1."/>
      <w:lvlJc w:val="left"/>
      <w:pPr>
        <w:ind w:left="551" w:hanging="360"/>
      </w:pPr>
      <w:rPr>
        <w:rFonts w:ascii="Arial" w:eastAsia="Arial" w:hAnsi="Arial" w:cs="Arial" w:hint="default"/>
        <w:spacing w:val="-1"/>
        <w:w w:val="99"/>
        <w:sz w:val="24"/>
        <w:szCs w:val="24"/>
      </w:rPr>
    </w:lvl>
    <w:lvl w:ilvl="1" w:tplc="C5F4CAC0">
      <w:numFmt w:val="bullet"/>
      <w:lvlText w:val="•"/>
      <w:lvlJc w:val="left"/>
      <w:pPr>
        <w:ind w:left="872" w:hanging="360"/>
      </w:pPr>
      <w:rPr>
        <w:rFonts w:hint="default"/>
      </w:rPr>
    </w:lvl>
    <w:lvl w:ilvl="2" w:tplc="CED2F332">
      <w:numFmt w:val="bullet"/>
      <w:lvlText w:val="•"/>
      <w:lvlJc w:val="left"/>
      <w:pPr>
        <w:ind w:left="1184" w:hanging="360"/>
      </w:pPr>
      <w:rPr>
        <w:rFonts w:hint="default"/>
      </w:rPr>
    </w:lvl>
    <w:lvl w:ilvl="3" w:tplc="763C3C7A">
      <w:numFmt w:val="bullet"/>
      <w:lvlText w:val="•"/>
      <w:lvlJc w:val="left"/>
      <w:pPr>
        <w:ind w:left="1496" w:hanging="360"/>
      </w:pPr>
      <w:rPr>
        <w:rFonts w:hint="default"/>
      </w:rPr>
    </w:lvl>
    <w:lvl w:ilvl="4" w:tplc="798C6956">
      <w:numFmt w:val="bullet"/>
      <w:lvlText w:val="•"/>
      <w:lvlJc w:val="left"/>
      <w:pPr>
        <w:ind w:left="1809" w:hanging="360"/>
      </w:pPr>
      <w:rPr>
        <w:rFonts w:hint="default"/>
      </w:rPr>
    </w:lvl>
    <w:lvl w:ilvl="5" w:tplc="661EE82A">
      <w:numFmt w:val="bullet"/>
      <w:lvlText w:val="•"/>
      <w:lvlJc w:val="left"/>
      <w:pPr>
        <w:ind w:left="2121" w:hanging="360"/>
      </w:pPr>
      <w:rPr>
        <w:rFonts w:hint="default"/>
      </w:rPr>
    </w:lvl>
    <w:lvl w:ilvl="6" w:tplc="1E7CE21A">
      <w:numFmt w:val="bullet"/>
      <w:lvlText w:val="•"/>
      <w:lvlJc w:val="left"/>
      <w:pPr>
        <w:ind w:left="2433" w:hanging="360"/>
      </w:pPr>
      <w:rPr>
        <w:rFonts w:hint="default"/>
      </w:rPr>
    </w:lvl>
    <w:lvl w:ilvl="7" w:tplc="910053C8">
      <w:numFmt w:val="bullet"/>
      <w:lvlText w:val="•"/>
      <w:lvlJc w:val="left"/>
      <w:pPr>
        <w:ind w:left="2745" w:hanging="360"/>
      </w:pPr>
      <w:rPr>
        <w:rFonts w:hint="default"/>
      </w:rPr>
    </w:lvl>
    <w:lvl w:ilvl="8" w:tplc="B2002D60">
      <w:numFmt w:val="bullet"/>
      <w:lvlText w:val="•"/>
      <w:lvlJc w:val="left"/>
      <w:pPr>
        <w:ind w:left="3058" w:hanging="360"/>
      </w:pPr>
      <w:rPr>
        <w:rFonts w:hint="default"/>
      </w:rPr>
    </w:lvl>
  </w:abstractNum>
  <w:abstractNum w:abstractNumId="1" w15:restartNumberingAfterBreak="0">
    <w:nsid w:val="0A383B95"/>
    <w:multiLevelType w:val="multilevel"/>
    <w:tmpl w:val="1D940730"/>
    <w:lvl w:ilvl="0">
      <w:start w:val="5"/>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5"/>
        <w:w w:val="99"/>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abstractNum w:abstractNumId="2" w15:restartNumberingAfterBreak="0">
    <w:nsid w:val="0BC81B68"/>
    <w:multiLevelType w:val="multilevel"/>
    <w:tmpl w:val="F356D6BC"/>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965C1"/>
    <w:multiLevelType w:val="multilevel"/>
    <w:tmpl w:val="FA2ACB44"/>
    <w:lvl w:ilvl="0">
      <w:start w:val="10"/>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abstractNum w:abstractNumId="4" w15:restartNumberingAfterBreak="0">
    <w:nsid w:val="14EA1188"/>
    <w:multiLevelType w:val="multilevel"/>
    <w:tmpl w:val="A2D678F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5AF169F"/>
    <w:multiLevelType w:val="multilevel"/>
    <w:tmpl w:val="A2D678F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C6325BA"/>
    <w:multiLevelType w:val="multilevel"/>
    <w:tmpl w:val="1C28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73780"/>
    <w:multiLevelType w:val="multilevel"/>
    <w:tmpl w:val="D11C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776E"/>
    <w:multiLevelType w:val="multilevel"/>
    <w:tmpl w:val="0560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C0D76"/>
    <w:multiLevelType w:val="multilevel"/>
    <w:tmpl w:val="7024A0B2"/>
    <w:lvl w:ilvl="0">
      <w:start w:val="6"/>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489" w:hanging="720"/>
      </w:pPr>
      <w:rPr>
        <w:rFonts w:hint="default"/>
      </w:rPr>
    </w:lvl>
    <w:lvl w:ilvl="3">
      <w:numFmt w:val="bullet"/>
      <w:lvlText w:val="•"/>
      <w:lvlJc w:val="left"/>
      <w:pPr>
        <w:ind w:left="3323" w:hanging="720"/>
      </w:pPr>
      <w:rPr>
        <w:rFonts w:hint="default"/>
      </w:rPr>
    </w:lvl>
    <w:lvl w:ilvl="4">
      <w:numFmt w:val="bullet"/>
      <w:lvlText w:val="•"/>
      <w:lvlJc w:val="left"/>
      <w:pPr>
        <w:ind w:left="4158" w:hanging="720"/>
      </w:pPr>
      <w:rPr>
        <w:rFonts w:hint="default"/>
      </w:rPr>
    </w:lvl>
    <w:lvl w:ilvl="5">
      <w:numFmt w:val="bullet"/>
      <w:lvlText w:val="•"/>
      <w:lvlJc w:val="left"/>
      <w:pPr>
        <w:ind w:left="4993" w:hanging="720"/>
      </w:pPr>
      <w:rPr>
        <w:rFonts w:hint="default"/>
      </w:rPr>
    </w:lvl>
    <w:lvl w:ilvl="6">
      <w:numFmt w:val="bullet"/>
      <w:lvlText w:val="•"/>
      <w:lvlJc w:val="left"/>
      <w:pPr>
        <w:ind w:left="5827" w:hanging="720"/>
      </w:pPr>
      <w:rPr>
        <w:rFonts w:hint="default"/>
      </w:rPr>
    </w:lvl>
    <w:lvl w:ilvl="7">
      <w:numFmt w:val="bullet"/>
      <w:lvlText w:val="•"/>
      <w:lvlJc w:val="left"/>
      <w:pPr>
        <w:ind w:left="6662" w:hanging="720"/>
      </w:pPr>
      <w:rPr>
        <w:rFonts w:hint="default"/>
      </w:rPr>
    </w:lvl>
    <w:lvl w:ilvl="8">
      <w:numFmt w:val="bullet"/>
      <w:lvlText w:val="•"/>
      <w:lvlJc w:val="left"/>
      <w:pPr>
        <w:ind w:left="7497" w:hanging="720"/>
      </w:pPr>
      <w:rPr>
        <w:rFonts w:hint="default"/>
      </w:rPr>
    </w:lvl>
  </w:abstractNum>
  <w:abstractNum w:abstractNumId="10" w15:restartNumberingAfterBreak="0">
    <w:nsid w:val="23FC422F"/>
    <w:multiLevelType w:val="multilevel"/>
    <w:tmpl w:val="A7BA35A0"/>
    <w:lvl w:ilvl="0">
      <w:start w:val="1"/>
      <w:numFmt w:val="decimal"/>
      <w:lvlText w:val="%1.0"/>
      <w:lvlJc w:val="left"/>
      <w:pPr>
        <w:ind w:left="551" w:hanging="360"/>
      </w:pPr>
      <w:rPr>
        <w:rFonts w:hint="default"/>
      </w:rPr>
    </w:lvl>
    <w:lvl w:ilvl="1">
      <w:start w:val="1"/>
      <w:numFmt w:val="decimal"/>
      <w:lvlText w:val="%1.%2"/>
      <w:lvlJc w:val="left"/>
      <w:pPr>
        <w:ind w:left="1271" w:hanging="360"/>
      </w:pPr>
      <w:rPr>
        <w:rFonts w:hint="default"/>
      </w:rPr>
    </w:lvl>
    <w:lvl w:ilvl="2">
      <w:start w:val="1"/>
      <w:numFmt w:val="decimal"/>
      <w:lvlText w:val="%1.%2.%3"/>
      <w:lvlJc w:val="left"/>
      <w:pPr>
        <w:ind w:left="2351" w:hanging="720"/>
      </w:pPr>
      <w:rPr>
        <w:rFonts w:hint="default"/>
      </w:rPr>
    </w:lvl>
    <w:lvl w:ilvl="3">
      <w:start w:val="1"/>
      <w:numFmt w:val="decimal"/>
      <w:lvlText w:val="%1.%2.%3.%4"/>
      <w:lvlJc w:val="left"/>
      <w:pPr>
        <w:ind w:left="3431" w:hanging="1080"/>
      </w:pPr>
      <w:rPr>
        <w:rFonts w:hint="default"/>
      </w:rPr>
    </w:lvl>
    <w:lvl w:ilvl="4">
      <w:start w:val="1"/>
      <w:numFmt w:val="decimal"/>
      <w:lvlText w:val="%1.%2.%3.%4.%5"/>
      <w:lvlJc w:val="left"/>
      <w:pPr>
        <w:ind w:left="4151" w:hanging="1080"/>
      </w:pPr>
      <w:rPr>
        <w:rFonts w:hint="default"/>
      </w:rPr>
    </w:lvl>
    <w:lvl w:ilvl="5">
      <w:start w:val="1"/>
      <w:numFmt w:val="decimal"/>
      <w:lvlText w:val="%1.%2.%3.%4.%5.%6"/>
      <w:lvlJc w:val="left"/>
      <w:pPr>
        <w:ind w:left="5231" w:hanging="1440"/>
      </w:pPr>
      <w:rPr>
        <w:rFonts w:hint="default"/>
      </w:rPr>
    </w:lvl>
    <w:lvl w:ilvl="6">
      <w:start w:val="1"/>
      <w:numFmt w:val="decimal"/>
      <w:lvlText w:val="%1.%2.%3.%4.%5.%6.%7"/>
      <w:lvlJc w:val="left"/>
      <w:pPr>
        <w:ind w:left="5951" w:hanging="1440"/>
      </w:pPr>
      <w:rPr>
        <w:rFonts w:hint="default"/>
      </w:rPr>
    </w:lvl>
    <w:lvl w:ilvl="7">
      <w:start w:val="1"/>
      <w:numFmt w:val="decimal"/>
      <w:lvlText w:val="%1.%2.%3.%4.%5.%6.%7.%8"/>
      <w:lvlJc w:val="left"/>
      <w:pPr>
        <w:ind w:left="7031" w:hanging="1800"/>
      </w:pPr>
      <w:rPr>
        <w:rFonts w:hint="default"/>
      </w:rPr>
    </w:lvl>
    <w:lvl w:ilvl="8">
      <w:start w:val="1"/>
      <w:numFmt w:val="decimal"/>
      <w:lvlText w:val="%1.%2.%3.%4.%5.%6.%7.%8.%9"/>
      <w:lvlJc w:val="left"/>
      <w:pPr>
        <w:ind w:left="7751" w:hanging="1800"/>
      </w:pPr>
      <w:rPr>
        <w:rFonts w:hint="default"/>
      </w:rPr>
    </w:lvl>
  </w:abstractNum>
  <w:abstractNum w:abstractNumId="11" w15:restartNumberingAfterBreak="0">
    <w:nsid w:val="25573D6F"/>
    <w:multiLevelType w:val="multilevel"/>
    <w:tmpl w:val="3D821518"/>
    <w:lvl w:ilvl="0">
      <w:start w:val="2"/>
      <w:numFmt w:val="decimal"/>
      <w:lvlText w:val="%1"/>
      <w:lvlJc w:val="left"/>
      <w:pPr>
        <w:ind w:left="460" w:hanging="460"/>
      </w:pPr>
      <w:rPr>
        <w:rFonts w:hint="default"/>
        <w:b w:val="0"/>
      </w:rPr>
    </w:lvl>
    <w:lvl w:ilvl="1">
      <w:start w:val="12"/>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5F9039B"/>
    <w:multiLevelType w:val="hybridMultilevel"/>
    <w:tmpl w:val="E580229E"/>
    <w:lvl w:ilvl="0" w:tplc="57605F5E">
      <w:start w:val="1"/>
      <w:numFmt w:val="lowerRoman"/>
      <w:lvlText w:val="(%1)"/>
      <w:lvlJc w:val="left"/>
      <w:pPr>
        <w:ind w:left="1182" w:hanging="1080"/>
      </w:pPr>
      <w:rPr>
        <w:rFonts w:ascii="Arial" w:eastAsia="Arial" w:hAnsi="Arial" w:cs="Arial" w:hint="default"/>
        <w:spacing w:val="-24"/>
        <w:w w:val="99"/>
        <w:sz w:val="30"/>
        <w:szCs w:val="30"/>
      </w:rPr>
    </w:lvl>
    <w:lvl w:ilvl="1" w:tplc="ED2EB15A">
      <w:numFmt w:val="bullet"/>
      <w:lvlText w:val="•"/>
      <w:lvlJc w:val="left"/>
      <w:pPr>
        <w:ind w:left="1962" w:hanging="1080"/>
      </w:pPr>
      <w:rPr>
        <w:rFonts w:hint="default"/>
      </w:rPr>
    </w:lvl>
    <w:lvl w:ilvl="2" w:tplc="72EC2E28">
      <w:numFmt w:val="bullet"/>
      <w:lvlText w:val="•"/>
      <w:lvlJc w:val="left"/>
      <w:pPr>
        <w:ind w:left="2745" w:hanging="1080"/>
      </w:pPr>
      <w:rPr>
        <w:rFonts w:hint="default"/>
      </w:rPr>
    </w:lvl>
    <w:lvl w:ilvl="3" w:tplc="24DA0096">
      <w:numFmt w:val="bullet"/>
      <w:lvlText w:val="•"/>
      <w:lvlJc w:val="left"/>
      <w:pPr>
        <w:ind w:left="3527" w:hanging="1080"/>
      </w:pPr>
      <w:rPr>
        <w:rFonts w:hint="default"/>
      </w:rPr>
    </w:lvl>
    <w:lvl w:ilvl="4" w:tplc="D6506A12">
      <w:numFmt w:val="bullet"/>
      <w:lvlText w:val="•"/>
      <w:lvlJc w:val="left"/>
      <w:pPr>
        <w:ind w:left="4310" w:hanging="1080"/>
      </w:pPr>
      <w:rPr>
        <w:rFonts w:hint="default"/>
      </w:rPr>
    </w:lvl>
    <w:lvl w:ilvl="5" w:tplc="A70E6800">
      <w:numFmt w:val="bullet"/>
      <w:lvlText w:val="•"/>
      <w:lvlJc w:val="left"/>
      <w:pPr>
        <w:ind w:left="5093" w:hanging="1080"/>
      </w:pPr>
      <w:rPr>
        <w:rFonts w:hint="default"/>
      </w:rPr>
    </w:lvl>
    <w:lvl w:ilvl="6" w:tplc="393AEE12">
      <w:numFmt w:val="bullet"/>
      <w:lvlText w:val="•"/>
      <w:lvlJc w:val="left"/>
      <w:pPr>
        <w:ind w:left="5875" w:hanging="1080"/>
      </w:pPr>
      <w:rPr>
        <w:rFonts w:hint="default"/>
      </w:rPr>
    </w:lvl>
    <w:lvl w:ilvl="7" w:tplc="A6967278">
      <w:numFmt w:val="bullet"/>
      <w:lvlText w:val="•"/>
      <w:lvlJc w:val="left"/>
      <w:pPr>
        <w:ind w:left="6658" w:hanging="1080"/>
      </w:pPr>
      <w:rPr>
        <w:rFonts w:hint="default"/>
      </w:rPr>
    </w:lvl>
    <w:lvl w:ilvl="8" w:tplc="C714EDA2">
      <w:numFmt w:val="bullet"/>
      <w:lvlText w:val="•"/>
      <w:lvlJc w:val="left"/>
      <w:pPr>
        <w:ind w:left="7441" w:hanging="1080"/>
      </w:pPr>
      <w:rPr>
        <w:rFonts w:hint="default"/>
      </w:rPr>
    </w:lvl>
  </w:abstractNum>
  <w:abstractNum w:abstractNumId="13" w15:restartNumberingAfterBreak="0">
    <w:nsid w:val="299A3704"/>
    <w:multiLevelType w:val="multilevel"/>
    <w:tmpl w:val="94D2B3EC"/>
    <w:lvl w:ilvl="0">
      <w:start w:val="2"/>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CC132DE"/>
    <w:multiLevelType w:val="multilevel"/>
    <w:tmpl w:val="56AA2F82"/>
    <w:lvl w:ilvl="0">
      <w:start w:val="4"/>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15" w15:restartNumberingAfterBreak="0">
    <w:nsid w:val="2D553F4F"/>
    <w:multiLevelType w:val="multilevel"/>
    <w:tmpl w:val="181E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209C1"/>
    <w:multiLevelType w:val="multilevel"/>
    <w:tmpl w:val="B42A57CE"/>
    <w:lvl w:ilvl="0">
      <w:start w:val="2"/>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1774DE0"/>
    <w:multiLevelType w:val="multilevel"/>
    <w:tmpl w:val="F7E6DEB8"/>
    <w:lvl w:ilvl="0">
      <w:start w:val="9"/>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3"/>
        <w:w w:val="99"/>
        <w:sz w:val="24"/>
        <w:szCs w:val="24"/>
      </w:rPr>
    </w:lvl>
    <w:lvl w:ilvl="2">
      <w:numFmt w:val="bullet"/>
      <w:lvlText w:val="•"/>
      <w:lvlJc w:val="left"/>
      <w:pPr>
        <w:ind w:left="2501" w:hanging="720"/>
      </w:pPr>
      <w:rPr>
        <w:rFonts w:hint="default"/>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abstractNum w:abstractNumId="18" w15:restartNumberingAfterBreak="0">
    <w:nsid w:val="33DF277C"/>
    <w:multiLevelType w:val="multilevel"/>
    <w:tmpl w:val="DB40C0DC"/>
    <w:lvl w:ilvl="0">
      <w:start w:val="11"/>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1"/>
        <w:w w:val="99"/>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19" w15:restartNumberingAfterBreak="0">
    <w:nsid w:val="3533181C"/>
    <w:multiLevelType w:val="multilevel"/>
    <w:tmpl w:val="1666C4DE"/>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A06AB7"/>
    <w:multiLevelType w:val="multilevel"/>
    <w:tmpl w:val="7B72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A0B55"/>
    <w:multiLevelType w:val="multilevel"/>
    <w:tmpl w:val="DECC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277ED"/>
    <w:multiLevelType w:val="multilevel"/>
    <w:tmpl w:val="57D060AA"/>
    <w:lvl w:ilvl="0">
      <w:start w:val="3"/>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23" w15:restartNumberingAfterBreak="0">
    <w:nsid w:val="46C409E2"/>
    <w:multiLevelType w:val="multilevel"/>
    <w:tmpl w:val="B7DCF05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B8C78D6"/>
    <w:multiLevelType w:val="multilevel"/>
    <w:tmpl w:val="EC8C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E29DC"/>
    <w:multiLevelType w:val="multilevel"/>
    <w:tmpl w:val="3768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55A1A"/>
    <w:multiLevelType w:val="multilevel"/>
    <w:tmpl w:val="9B2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15F2B"/>
    <w:multiLevelType w:val="multilevel"/>
    <w:tmpl w:val="7B06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523693"/>
    <w:multiLevelType w:val="multilevel"/>
    <w:tmpl w:val="E8E641F8"/>
    <w:lvl w:ilvl="0">
      <w:start w:val="7"/>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493" w:hanging="720"/>
      </w:pPr>
      <w:rPr>
        <w:rFonts w:hint="default"/>
      </w:rPr>
    </w:lvl>
    <w:lvl w:ilvl="3">
      <w:numFmt w:val="bullet"/>
      <w:lvlText w:val="•"/>
      <w:lvlJc w:val="left"/>
      <w:pPr>
        <w:ind w:left="3329" w:hanging="720"/>
      </w:pPr>
      <w:rPr>
        <w:rFonts w:hint="default"/>
      </w:rPr>
    </w:lvl>
    <w:lvl w:ilvl="4">
      <w:numFmt w:val="bullet"/>
      <w:lvlText w:val="•"/>
      <w:lvlJc w:val="left"/>
      <w:pPr>
        <w:ind w:left="4166" w:hanging="720"/>
      </w:pPr>
      <w:rPr>
        <w:rFonts w:hint="default"/>
      </w:rPr>
    </w:lvl>
    <w:lvl w:ilvl="5">
      <w:numFmt w:val="bullet"/>
      <w:lvlText w:val="•"/>
      <w:lvlJc w:val="left"/>
      <w:pPr>
        <w:ind w:left="5003" w:hanging="720"/>
      </w:pPr>
      <w:rPr>
        <w:rFonts w:hint="default"/>
      </w:rPr>
    </w:lvl>
    <w:lvl w:ilvl="6">
      <w:numFmt w:val="bullet"/>
      <w:lvlText w:val="•"/>
      <w:lvlJc w:val="left"/>
      <w:pPr>
        <w:ind w:left="5839" w:hanging="720"/>
      </w:pPr>
      <w:rPr>
        <w:rFonts w:hint="default"/>
      </w:rPr>
    </w:lvl>
    <w:lvl w:ilvl="7">
      <w:numFmt w:val="bullet"/>
      <w:lvlText w:val="•"/>
      <w:lvlJc w:val="left"/>
      <w:pPr>
        <w:ind w:left="6676" w:hanging="720"/>
      </w:pPr>
      <w:rPr>
        <w:rFonts w:hint="default"/>
      </w:rPr>
    </w:lvl>
    <w:lvl w:ilvl="8">
      <w:numFmt w:val="bullet"/>
      <w:lvlText w:val="•"/>
      <w:lvlJc w:val="left"/>
      <w:pPr>
        <w:ind w:left="7513" w:hanging="720"/>
      </w:pPr>
      <w:rPr>
        <w:rFonts w:hint="default"/>
      </w:rPr>
    </w:lvl>
  </w:abstractNum>
  <w:abstractNum w:abstractNumId="29" w15:restartNumberingAfterBreak="0">
    <w:nsid w:val="5A954B11"/>
    <w:multiLevelType w:val="multilevel"/>
    <w:tmpl w:val="444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953C1D"/>
    <w:multiLevelType w:val="multilevel"/>
    <w:tmpl w:val="E7F8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E25FA0"/>
    <w:multiLevelType w:val="multilevel"/>
    <w:tmpl w:val="482EA4E8"/>
    <w:lvl w:ilvl="0">
      <w:start w:val="2"/>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32" w15:restartNumberingAfterBreak="0">
    <w:nsid w:val="5F051CBB"/>
    <w:multiLevelType w:val="multilevel"/>
    <w:tmpl w:val="BFB8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72312"/>
    <w:multiLevelType w:val="multilevel"/>
    <w:tmpl w:val="28E8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C6367"/>
    <w:multiLevelType w:val="hybridMultilevel"/>
    <w:tmpl w:val="D8665AD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6B1D121A"/>
    <w:multiLevelType w:val="multilevel"/>
    <w:tmpl w:val="3D18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24C48"/>
    <w:multiLevelType w:val="multilevel"/>
    <w:tmpl w:val="6178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9A0511"/>
    <w:multiLevelType w:val="multilevel"/>
    <w:tmpl w:val="127EB5F6"/>
    <w:lvl w:ilvl="0">
      <w:start w:val="1"/>
      <w:numFmt w:val="decimal"/>
      <w:lvlText w:val="%1"/>
      <w:lvlJc w:val="left"/>
      <w:pPr>
        <w:ind w:left="820" w:hanging="820"/>
      </w:pPr>
      <w:rPr>
        <w:rFonts w:hint="default"/>
        <w:i w:val="0"/>
      </w:rPr>
    </w:lvl>
    <w:lvl w:ilvl="1">
      <w:start w:val="1"/>
      <w:numFmt w:val="decimal"/>
      <w:lvlText w:val="%1.%2"/>
      <w:lvlJc w:val="left"/>
      <w:pPr>
        <w:ind w:left="820" w:hanging="820"/>
      </w:pPr>
      <w:rPr>
        <w:rFonts w:hint="default"/>
        <w:i w:val="0"/>
      </w:rPr>
    </w:lvl>
    <w:lvl w:ilvl="2">
      <w:start w:val="1"/>
      <w:numFmt w:val="decimal"/>
      <w:lvlText w:val="%1.%2.%3"/>
      <w:lvlJc w:val="left"/>
      <w:pPr>
        <w:ind w:left="820" w:hanging="8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6E8A6B0C"/>
    <w:multiLevelType w:val="hybridMultilevel"/>
    <w:tmpl w:val="E346887C"/>
    <w:lvl w:ilvl="0" w:tplc="7A465A18">
      <w:start w:val="1"/>
      <w:numFmt w:val="lowerLetter"/>
      <w:lvlText w:val="(%1)"/>
      <w:lvlJc w:val="left"/>
      <w:pPr>
        <w:ind w:left="720" w:hanging="360"/>
      </w:pPr>
      <w:rPr>
        <w:rFonts w:ascii="Calibri" w:eastAsia="Times New Roman" w:hAnsi="Calibri" w:cs="Calibri" w:hint="default"/>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3D48B4"/>
    <w:multiLevelType w:val="multilevel"/>
    <w:tmpl w:val="F258BADA"/>
    <w:lvl w:ilvl="0">
      <w:start w:val="8"/>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40" w15:restartNumberingAfterBreak="0">
    <w:nsid w:val="78DD0120"/>
    <w:multiLevelType w:val="multilevel"/>
    <w:tmpl w:val="B35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A061EC"/>
    <w:multiLevelType w:val="multilevel"/>
    <w:tmpl w:val="B48C10EE"/>
    <w:lvl w:ilvl="0">
      <w:start w:val="1"/>
      <w:numFmt w:val="decimal"/>
      <w:lvlText w:val="%1"/>
      <w:lvlJc w:val="left"/>
      <w:pPr>
        <w:ind w:left="820" w:hanging="720"/>
      </w:pPr>
      <w:rPr>
        <w:rFonts w:hint="default"/>
      </w:rPr>
    </w:lvl>
    <w:lvl w:ilvl="1">
      <w:numFmt w:val="decimal"/>
      <w:lvlText w:val="%1.%2"/>
      <w:lvlJc w:val="left"/>
      <w:pPr>
        <w:ind w:left="820" w:hanging="720"/>
      </w:pPr>
      <w:rPr>
        <w:rFonts w:ascii="Arial" w:eastAsia="Arial" w:hAnsi="Arial" w:cs="Arial" w:hint="default"/>
        <w:spacing w:val="-2"/>
        <w:w w:val="99"/>
        <w:sz w:val="24"/>
        <w:szCs w:val="24"/>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num w:numId="1">
    <w:abstractNumId w:val="18"/>
  </w:num>
  <w:num w:numId="2">
    <w:abstractNumId w:val="3"/>
  </w:num>
  <w:num w:numId="3">
    <w:abstractNumId w:val="17"/>
  </w:num>
  <w:num w:numId="4">
    <w:abstractNumId w:val="39"/>
  </w:num>
  <w:num w:numId="5">
    <w:abstractNumId w:val="28"/>
  </w:num>
  <w:num w:numId="6">
    <w:abstractNumId w:val="9"/>
  </w:num>
  <w:num w:numId="7">
    <w:abstractNumId w:val="1"/>
  </w:num>
  <w:num w:numId="8">
    <w:abstractNumId w:val="14"/>
  </w:num>
  <w:num w:numId="9">
    <w:abstractNumId w:val="22"/>
  </w:num>
  <w:num w:numId="10">
    <w:abstractNumId w:val="31"/>
  </w:num>
  <w:num w:numId="11">
    <w:abstractNumId w:val="41"/>
  </w:num>
  <w:num w:numId="12">
    <w:abstractNumId w:val="0"/>
  </w:num>
  <w:num w:numId="13">
    <w:abstractNumId w:val="12"/>
  </w:num>
  <w:num w:numId="14">
    <w:abstractNumId w:val="4"/>
  </w:num>
  <w:num w:numId="15">
    <w:abstractNumId w:val="5"/>
  </w:num>
  <w:num w:numId="16">
    <w:abstractNumId w:val="23"/>
  </w:num>
  <w:num w:numId="17">
    <w:abstractNumId w:val="37"/>
  </w:num>
  <w:num w:numId="18">
    <w:abstractNumId w:val="40"/>
  </w:num>
  <w:num w:numId="19">
    <w:abstractNumId w:val="33"/>
  </w:num>
  <w:num w:numId="20">
    <w:abstractNumId w:val="30"/>
    <w:lvlOverride w:ilvl="0">
      <w:lvl w:ilvl="0">
        <w:numFmt w:val="lowerLetter"/>
        <w:lvlText w:val="%1."/>
        <w:lvlJc w:val="left"/>
      </w:lvl>
    </w:lvlOverride>
  </w:num>
  <w:num w:numId="21">
    <w:abstractNumId w:val="29"/>
  </w:num>
  <w:num w:numId="22">
    <w:abstractNumId w:val="21"/>
  </w:num>
  <w:num w:numId="23">
    <w:abstractNumId w:val="27"/>
    <w:lvlOverride w:ilvl="0">
      <w:lvl w:ilvl="0">
        <w:numFmt w:val="lowerLetter"/>
        <w:lvlText w:val="%1."/>
        <w:lvlJc w:val="left"/>
      </w:lvl>
    </w:lvlOverride>
  </w:num>
  <w:num w:numId="24">
    <w:abstractNumId w:val="24"/>
  </w:num>
  <w:num w:numId="25">
    <w:abstractNumId w:val="24"/>
    <w:lvlOverride w:ilvl="0"/>
  </w:num>
  <w:num w:numId="26">
    <w:abstractNumId w:val="26"/>
  </w:num>
  <w:num w:numId="27">
    <w:abstractNumId w:val="25"/>
  </w:num>
  <w:num w:numId="28">
    <w:abstractNumId w:val="36"/>
  </w:num>
  <w:num w:numId="29">
    <w:abstractNumId w:val="19"/>
  </w:num>
  <w:num w:numId="30">
    <w:abstractNumId w:val="2"/>
  </w:num>
  <w:num w:numId="31">
    <w:abstractNumId w:val="38"/>
  </w:num>
  <w:num w:numId="32">
    <w:abstractNumId w:val="34"/>
  </w:num>
  <w:num w:numId="33">
    <w:abstractNumId w:val="16"/>
  </w:num>
  <w:num w:numId="34">
    <w:abstractNumId w:val="13"/>
  </w:num>
  <w:num w:numId="35">
    <w:abstractNumId w:val="11"/>
  </w:num>
  <w:num w:numId="36">
    <w:abstractNumId w:val="7"/>
  </w:num>
  <w:num w:numId="37">
    <w:abstractNumId w:val="6"/>
  </w:num>
  <w:num w:numId="38">
    <w:abstractNumId w:val="32"/>
  </w:num>
  <w:num w:numId="39">
    <w:abstractNumId w:val="15"/>
  </w:num>
  <w:num w:numId="40">
    <w:abstractNumId w:val="35"/>
  </w:num>
  <w:num w:numId="41">
    <w:abstractNumId w:val="8"/>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56"/>
    <w:rsid w:val="00007D45"/>
    <w:rsid w:val="001361C5"/>
    <w:rsid w:val="0018101C"/>
    <w:rsid w:val="002136F6"/>
    <w:rsid w:val="002E6000"/>
    <w:rsid w:val="00311644"/>
    <w:rsid w:val="003273E1"/>
    <w:rsid w:val="00334037"/>
    <w:rsid w:val="00443009"/>
    <w:rsid w:val="00511B56"/>
    <w:rsid w:val="0058646D"/>
    <w:rsid w:val="00587A4E"/>
    <w:rsid w:val="00652878"/>
    <w:rsid w:val="006639F9"/>
    <w:rsid w:val="00865A62"/>
    <w:rsid w:val="00866060"/>
    <w:rsid w:val="00AE2C42"/>
    <w:rsid w:val="00B21E69"/>
    <w:rsid w:val="00B43F08"/>
    <w:rsid w:val="00BC1BD3"/>
    <w:rsid w:val="00C21E63"/>
    <w:rsid w:val="00C6275D"/>
    <w:rsid w:val="00D12655"/>
    <w:rsid w:val="00D13667"/>
    <w:rsid w:val="00D314B6"/>
    <w:rsid w:val="00DB2D49"/>
    <w:rsid w:val="00E27174"/>
    <w:rsid w:val="00EF19B9"/>
    <w:rsid w:val="00F2359B"/>
    <w:rsid w:val="00F323E4"/>
    <w:rsid w:val="00F42E49"/>
    <w:rsid w:val="00F45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A494B"/>
  <w15:docId w15:val="{C516226F-283A-4544-8795-EC837C85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2878"/>
    <w:pPr>
      <w:tabs>
        <w:tab w:val="center" w:pos="4513"/>
        <w:tab w:val="right" w:pos="9026"/>
      </w:tabs>
    </w:pPr>
  </w:style>
  <w:style w:type="character" w:customStyle="1" w:styleId="HeaderChar">
    <w:name w:val="Header Char"/>
    <w:basedOn w:val="DefaultParagraphFont"/>
    <w:link w:val="Header"/>
    <w:uiPriority w:val="99"/>
    <w:rsid w:val="00652878"/>
    <w:rPr>
      <w:rFonts w:ascii="Arial" w:eastAsia="Arial" w:hAnsi="Arial" w:cs="Arial"/>
    </w:rPr>
  </w:style>
  <w:style w:type="paragraph" w:styleId="Footer">
    <w:name w:val="footer"/>
    <w:basedOn w:val="Normal"/>
    <w:link w:val="FooterChar"/>
    <w:uiPriority w:val="99"/>
    <w:unhideWhenUsed/>
    <w:rsid w:val="00652878"/>
    <w:pPr>
      <w:tabs>
        <w:tab w:val="center" w:pos="4513"/>
        <w:tab w:val="right" w:pos="9026"/>
      </w:tabs>
    </w:pPr>
  </w:style>
  <w:style w:type="character" w:customStyle="1" w:styleId="FooterChar">
    <w:name w:val="Footer Char"/>
    <w:basedOn w:val="DefaultParagraphFont"/>
    <w:link w:val="Footer"/>
    <w:uiPriority w:val="99"/>
    <w:rsid w:val="00652878"/>
    <w:rPr>
      <w:rFonts w:ascii="Arial" w:eastAsia="Arial" w:hAnsi="Arial" w:cs="Arial"/>
    </w:rPr>
  </w:style>
  <w:style w:type="paragraph" w:styleId="BalloonText">
    <w:name w:val="Balloon Text"/>
    <w:basedOn w:val="Normal"/>
    <w:link w:val="BalloonTextChar"/>
    <w:uiPriority w:val="99"/>
    <w:semiHidden/>
    <w:unhideWhenUsed/>
    <w:rsid w:val="00C62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5D"/>
    <w:rPr>
      <w:rFonts w:ascii="Segoe UI" w:eastAsia="Arial" w:hAnsi="Segoe UI" w:cs="Segoe UI"/>
      <w:sz w:val="18"/>
      <w:szCs w:val="18"/>
    </w:rPr>
  </w:style>
  <w:style w:type="paragraph" w:styleId="NormalWeb">
    <w:name w:val="Normal (Web)"/>
    <w:basedOn w:val="Normal"/>
    <w:uiPriority w:val="99"/>
    <w:unhideWhenUsed/>
    <w:rsid w:val="0031164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2E6000"/>
    <w:rPr>
      <w:sz w:val="20"/>
      <w:szCs w:val="20"/>
    </w:rPr>
  </w:style>
  <w:style w:type="character" w:customStyle="1" w:styleId="FootnoteTextChar">
    <w:name w:val="Footnote Text Char"/>
    <w:basedOn w:val="DefaultParagraphFont"/>
    <w:link w:val="FootnoteText"/>
    <w:uiPriority w:val="99"/>
    <w:semiHidden/>
    <w:rsid w:val="002E6000"/>
    <w:rPr>
      <w:rFonts w:ascii="Arial" w:eastAsia="Arial" w:hAnsi="Arial" w:cs="Arial"/>
      <w:sz w:val="20"/>
      <w:szCs w:val="20"/>
    </w:rPr>
  </w:style>
  <w:style w:type="character" w:styleId="FootnoteReference">
    <w:name w:val="footnote reference"/>
    <w:basedOn w:val="DefaultParagraphFont"/>
    <w:uiPriority w:val="99"/>
    <w:semiHidden/>
    <w:unhideWhenUsed/>
    <w:rsid w:val="002E6000"/>
    <w:rPr>
      <w:vertAlign w:val="superscript"/>
    </w:rPr>
  </w:style>
  <w:style w:type="character" w:styleId="CommentReference">
    <w:name w:val="annotation reference"/>
    <w:basedOn w:val="DefaultParagraphFont"/>
    <w:uiPriority w:val="99"/>
    <w:semiHidden/>
    <w:unhideWhenUsed/>
    <w:rsid w:val="00865A62"/>
    <w:rPr>
      <w:sz w:val="16"/>
      <w:szCs w:val="16"/>
    </w:rPr>
  </w:style>
  <w:style w:type="paragraph" w:styleId="CommentText">
    <w:name w:val="annotation text"/>
    <w:basedOn w:val="Normal"/>
    <w:link w:val="CommentTextChar"/>
    <w:uiPriority w:val="99"/>
    <w:semiHidden/>
    <w:unhideWhenUsed/>
    <w:rsid w:val="00865A62"/>
    <w:rPr>
      <w:sz w:val="20"/>
      <w:szCs w:val="20"/>
    </w:rPr>
  </w:style>
  <w:style w:type="character" w:customStyle="1" w:styleId="CommentTextChar">
    <w:name w:val="Comment Text Char"/>
    <w:basedOn w:val="DefaultParagraphFont"/>
    <w:link w:val="CommentText"/>
    <w:uiPriority w:val="99"/>
    <w:semiHidden/>
    <w:rsid w:val="00865A6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65A62"/>
    <w:rPr>
      <w:b/>
      <w:bCs/>
    </w:rPr>
  </w:style>
  <w:style w:type="character" w:customStyle="1" w:styleId="CommentSubjectChar">
    <w:name w:val="Comment Subject Char"/>
    <w:basedOn w:val="CommentTextChar"/>
    <w:link w:val="CommentSubject"/>
    <w:uiPriority w:val="99"/>
    <w:semiHidden/>
    <w:rsid w:val="00865A6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52220">
      <w:bodyDiv w:val="1"/>
      <w:marLeft w:val="0"/>
      <w:marRight w:val="0"/>
      <w:marTop w:val="0"/>
      <w:marBottom w:val="0"/>
      <w:divBdr>
        <w:top w:val="none" w:sz="0" w:space="0" w:color="auto"/>
        <w:left w:val="none" w:sz="0" w:space="0" w:color="auto"/>
        <w:bottom w:val="none" w:sz="0" w:space="0" w:color="auto"/>
        <w:right w:val="none" w:sz="0" w:space="0" w:color="auto"/>
      </w:divBdr>
    </w:div>
    <w:div w:id="601305560">
      <w:bodyDiv w:val="1"/>
      <w:marLeft w:val="0"/>
      <w:marRight w:val="0"/>
      <w:marTop w:val="0"/>
      <w:marBottom w:val="0"/>
      <w:divBdr>
        <w:top w:val="none" w:sz="0" w:space="0" w:color="auto"/>
        <w:left w:val="none" w:sz="0" w:space="0" w:color="auto"/>
        <w:bottom w:val="none" w:sz="0" w:space="0" w:color="auto"/>
        <w:right w:val="none" w:sz="0" w:space="0" w:color="auto"/>
      </w:divBdr>
    </w:div>
    <w:div w:id="635070455">
      <w:bodyDiv w:val="1"/>
      <w:marLeft w:val="0"/>
      <w:marRight w:val="0"/>
      <w:marTop w:val="0"/>
      <w:marBottom w:val="0"/>
      <w:divBdr>
        <w:top w:val="none" w:sz="0" w:space="0" w:color="auto"/>
        <w:left w:val="none" w:sz="0" w:space="0" w:color="auto"/>
        <w:bottom w:val="none" w:sz="0" w:space="0" w:color="auto"/>
        <w:right w:val="none" w:sz="0" w:space="0" w:color="auto"/>
      </w:divBdr>
    </w:div>
    <w:div w:id="1027297102">
      <w:bodyDiv w:val="1"/>
      <w:marLeft w:val="0"/>
      <w:marRight w:val="0"/>
      <w:marTop w:val="0"/>
      <w:marBottom w:val="0"/>
      <w:divBdr>
        <w:top w:val="none" w:sz="0" w:space="0" w:color="auto"/>
        <w:left w:val="none" w:sz="0" w:space="0" w:color="auto"/>
        <w:bottom w:val="none" w:sz="0" w:space="0" w:color="auto"/>
        <w:right w:val="none" w:sz="0" w:space="0" w:color="auto"/>
      </w:divBdr>
    </w:div>
    <w:div w:id="1434669561">
      <w:bodyDiv w:val="1"/>
      <w:marLeft w:val="0"/>
      <w:marRight w:val="0"/>
      <w:marTop w:val="0"/>
      <w:marBottom w:val="0"/>
      <w:divBdr>
        <w:top w:val="none" w:sz="0" w:space="0" w:color="auto"/>
        <w:left w:val="none" w:sz="0" w:space="0" w:color="auto"/>
        <w:bottom w:val="none" w:sz="0" w:space="0" w:color="auto"/>
        <w:right w:val="none" w:sz="0" w:space="0" w:color="auto"/>
      </w:divBdr>
      <w:divsChild>
        <w:div w:id="981347133">
          <w:marLeft w:val="601"/>
          <w:marRight w:val="0"/>
          <w:marTop w:val="0"/>
          <w:marBottom w:val="0"/>
          <w:divBdr>
            <w:top w:val="none" w:sz="0" w:space="0" w:color="auto"/>
            <w:left w:val="none" w:sz="0" w:space="0" w:color="auto"/>
            <w:bottom w:val="none" w:sz="0" w:space="0" w:color="auto"/>
            <w:right w:val="none" w:sz="0" w:space="0" w:color="auto"/>
          </w:divBdr>
        </w:div>
      </w:divsChild>
    </w:div>
    <w:div w:id="1434977751">
      <w:bodyDiv w:val="1"/>
      <w:marLeft w:val="0"/>
      <w:marRight w:val="0"/>
      <w:marTop w:val="0"/>
      <w:marBottom w:val="0"/>
      <w:divBdr>
        <w:top w:val="none" w:sz="0" w:space="0" w:color="auto"/>
        <w:left w:val="none" w:sz="0" w:space="0" w:color="auto"/>
        <w:bottom w:val="none" w:sz="0" w:space="0" w:color="auto"/>
        <w:right w:val="none" w:sz="0" w:space="0" w:color="auto"/>
      </w:divBdr>
    </w:div>
    <w:div w:id="1620140296">
      <w:bodyDiv w:val="1"/>
      <w:marLeft w:val="0"/>
      <w:marRight w:val="0"/>
      <w:marTop w:val="0"/>
      <w:marBottom w:val="0"/>
      <w:divBdr>
        <w:top w:val="none" w:sz="0" w:space="0" w:color="auto"/>
        <w:left w:val="none" w:sz="0" w:space="0" w:color="auto"/>
        <w:bottom w:val="none" w:sz="0" w:space="0" w:color="auto"/>
        <w:right w:val="none" w:sz="0" w:space="0" w:color="auto"/>
      </w:divBdr>
      <w:divsChild>
        <w:div w:id="173351337">
          <w:marLeft w:val="139"/>
          <w:marRight w:val="0"/>
          <w:marTop w:val="0"/>
          <w:marBottom w:val="0"/>
          <w:divBdr>
            <w:top w:val="none" w:sz="0" w:space="0" w:color="auto"/>
            <w:left w:val="none" w:sz="0" w:space="0" w:color="auto"/>
            <w:bottom w:val="none" w:sz="0" w:space="0" w:color="auto"/>
            <w:right w:val="none" w:sz="0" w:space="0" w:color="auto"/>
          </w:divBdr>
        </w:div>
      </w:divsChild>
    </w:div>
    <w:div w:id="1777628172">
      <w:bodyDiv w:val="1"/>
      <w:marLeft w:val="0"/>
      <w:marRight w:val="0"/>
      <w:marTop w:val="0"/>
      <w:marBottom w:val="0"/>
      <w:divBdr>
        <w:top w:val="none" w:sz="0" w:space="0" w:color="auto"/>
        <w:left w:val="none" w:sz="0" w:space="0" w:color="auto"/>
        <w:bottom w:val="none" w:sz="0" w:space="0" w:color="auto"/>
        <w:right w:val="none" w:sz="0" w:space="0" w:color="auto"/>
      </w:divBdr>
    </w:div>
    <w:div w:id="182767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557E-7436-4EA4-B995-C6060FD1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Bellingham Paul (CEX)</dc:creator>
  <cp:lastModifiedBy>Roland Bolton</cp:lastModifiedBy>
  <cp:revision>2</cp:revision>
  <dcterms:created xsi:type="dcterms:W3CDTF">2020-12-22T18:13:00Z</dcterms:created>
  <dcterms:modified xsi:type="dcterms:W3CDTF">2020-12-22T18:13:00Z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2010</vt:lpwstr>
  </property>
  <property fmtid="{D5CDD505-2E9C-101B-9397-08002B2CF9AE}" pid="4" name="LastSaved">
    <vt:filetime>2020-12-10T00:00:00Z</vt:filetime>
  </property>
</Properties>
</file>